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keepNext/>
      </w:pPr>
      <w:r>
        <w:t>COMMUNITY PARTNERSHIP PROFILE</w:t>
      </w:r>
    </w:p>
    <w:p>
      <w:pPr>
        <w:pStyle w:val="DocumentTitle"/>
        <w:keepNext/>
      </w:pPr>
      <w:r>
        <w:t>Scotts Pass Primary and Infant School</w:t>
      </w:r>
    </w:p>
    <w:p>
      <w:pPr>
        <w:pStyle w:val="DocumentSubtitle"/>
        <w:keepNext/>
      </w:pPr>
      <w:r>
        <w:t>A proposed 60th Anniversary Legacy Year and campus transformation partnership for education, entrepreneurship, sport and community development</w:t>
      </w:r>
    </w:p>
    <w:p>
      <w:pPr>
        <w:pStyle w:val="Metadata"/>
        <w:keepNext/>
      </w:pPr>
      <w:r>
        <w:t>Prepared for stakeholder consultation by SourceEnergy Foundation and The Oliver E. Jones Center for Global Entrepreneurship | September 2026</w:t>
      </w:r>
    </w:p>
    <w:tbl>
      <w:tblPr>
        <w:tblW w:type="dxa" w:w="9360"/>
        <w:jc w:val="left"/>
        <w:tblLayout w:type="fixed"/>
        <w:tblLook w:firstColumn="1" w:firstRow="1" w:lastColumn="0" w:lastRow="0" w:noHBand="0" w:noVBand="1" w:val="04A0"/>
        <w:tblInd w:w="120" w:type="dxa"/>
      </w:tblPr>
      <w:tblGrid>
        <w:gridCol w:w="9360"/>
      </w:tblGrid>
      <w:tr>
        <w:trPr>
          <w:cantSplit w:val="true"/>
        </w:trPr>
        <w:tc>
          <w:tcPr>
            <w:tcW w:type="dxa" w:w="9360"/>
            <w:shd w:fill="FFF8E8" w:val="clear"/>
            <w:tcBorders>
              <w:top w:val="single" w:sz="6" w:space="0" w:color="D7DDE5"/>
              <w:bottom w:val="single" w:sz="6" w:space="0" w:color="D7DDE5"/>
              <w:left w:val="single" w:sz="18" w:space="0" w:color="C7952D"/>
              <w:right w:val="single" w:sz="6" w:space="0" w:color="D7DDE5"/>
            </w:tcBorders>
            <w:vAlign w:val="center"/>
            <w:tcMar>
              <w:top w:w="80" w:type="dxa"/>
              <w:start w:w="120" w:type="dxa"/>
              <w:bottom w:w="80" w:type="dxa"/>
              <w:end w:w="120" w:type="dxa"/>
            </w:tcMar>
          </w:tcPr>
          <w:p>
            <w:pPr>
              <w:spacing w:before="20" w:after="20" w:line="264" w:lineRule="auto"/>
            </w:pPr>
            <w:r>
              <w:rPr>
                <w:rFonts w:ascii="Calibri" w:hAnsi="Calibri"/>
                <w:b/>
                <w:color w:val="0B2545"/>
                <w:sz w:val="21"/>
              </w:rPr>
              <w:t xml:space="preserve">Partnership position: </w:t>
            </w:r>
            <w:r>
              <w:rPr>
                <w:rFonts w:ascii="Calibri" w:hAnsi="Calibri"/>
                <w:color w:val="222222"/>
                <w:sz w:val="21"/>
              </w:rPr>
              <w:t>The 60th Anniversary Celebration Year is proposed as the activation window for SourceEnergy Foundation's capital legacy commitment: expanding the Community Resource Center and leading a school-approved campus transformation anchored by a Sportsplex. The school remains governed by its statutory authorities, board and leadership; every activity, representation and resource commitment requires the applicable written approvals.</w:t>
            </w:r>
          </w:p>
        </w:tc>
      </w:tr>
    </w:tbl>
    <w:p>
      <w:pPr>
        <w:spacing w:before="0" w:after="80" w:line="240" w:lineRule="auto"/>
      </w:pPr>
      <w:r>
        <w:rPr>
          <w:rFonts w:ascii="Calibri" w:hAnsi="Calibri"/>
          <w:sz w:val="2"/>
        </w:rPr>
      </w:r>
    </w:p>
    <w:p>
      <w:pPr>
        <w:pStyle w:val="Heading1"/>
        <w:keepNext/>
      </w:pPr>
      <w:r>
        <w:t>At a glance</w:t>
      </w:r>
    </w:p>
    <w:tbl>
      <w:tblPr>
        <w:tblW w:type="dxa" w:w="9360"/>
        <w:jc w:val="left"/>
        <w:tblLayout w:type="fixed"/>
        <w:tblLook w:firstColumn="1" w:firstRow="1" w:lastColumn="0" w:lastRow="0" w:noHBand="0" w:noVBand="1" w:val="04A0"/>
        <w:tblInd w:w="120" w:type="dxa"/>
        <w:tblBorders>
          <w:top w:val="single" w:sz="6" w:space="0" w:color="D7DDE5"/>
          <w:left w:val="single" w:sz="6" w:space="0" w:color="D7DDE5"/>
          <w:bottom w:val="single" w:sz="6" w:space="0" w:color="D7DDE5"/>
          <w:right w:val="single" w:sz="6" w:space="0" w:color="D7DDE5"/>
          <w:insideH w:val="single" w:sz="6" w:space="0" w:color="D7DDE5"/>
          <w:insideV w:val="single" w:sz="6" w:space="0" w:color="D7DDE5"/>
        </w:tblBorders>
      </w:tblPr>
      <w:tblGrid>
        <w:gridCol w:w="2700"/>
        <w:gridCol w:w="6660"/>
      </w:tblGrid>
      <w:tr>
        <w:trPr>
          <w:cantSplit w:val="true"/>
        </w:trPr>
        <w:tc>
          <w:tcPr>
            <w:tcW w:type="dxa" w:w="27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Official classification</w:t>
            </w:r>
          </w:p>
        </w:tc>
        <w:tc>
          <w:tcPr>
            <w:tcW w:type="dxa" w:w="6660"/>
            <w:vAlign w:val="center"/>
            <w:tcMar>
              <w:top w:w="80" w:type="dxa"/>
              <w:start w:w="120" w:type="dxa"/>
              <w:bottom w:w="80" w:type="dxa"/>
              <w:end w:w="120" w:type="dxa"/>
            </w:tcMar>
          </w:tcPr>
          <w:p>
            <w:pPr>
              <w:spacing w:before="0" w:after="0" w:line="259" w:lineRule="auto"/>
            </w:pPr>
            <w:r>
              <w:rPr>
                <w:rFonts w:ascii="Calibri" w:hAnsi="Calibri"/>
                <w:color w:val="222222"/>
                <w:sz w:val="19"/>
              </w:rPr>
              <w:t>Region 6 | Clarendon | Government-owned | Primary and Infant</w:t>
            </w:r>
          </w:p>
        </w:tc>
      </w:tr>
      <w:tr>
        <w:trPr>
          <w:cantSplit w:val="true"/>
        </w:trPr>
        <w:tc>
          <w:tcPr>
            <w:tcW w:type="dxa" w:w="27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Precise field reference</w:t>
            </w:r>
          </w:p>
        </w:tc>
        <w:tc>
          <w:tcPr>
            <w:tcW w:type="dxa" w:w="6660"/>
            <w:vAlign w:val="center"/>
            <w:tcMar>
              <w:top w:w="80" w:type="dxa"/>
              <w:start w:w="120" w:type="dxa"/>
              <w:bottom w:w="80" w:type="dxa"/>
              <w:end w:w="120" w:type="dxa"/>
            </w:tcMar>
          </w:tcPr>
          <w:p>
            <w:pPr>
              <w:spacing w:before="0" w:after="0" w:line="259" w:lineRule="auto"/>
            </w:pPr>
            <w:r>
              <w:rPr>
                <w:rFonts w:ascii="Calibri" w:hAnsi="Calibri"/>
                <w:color w:val="222222"/>
                <w:sz w:val="19"/>
              </w:rPr>
              <w:t xml:space="preserve">what3words: </w:t>
            </w:r>
            <w:hyperlink r:id="rId13">
              <w:r>
                <w:rPr>
                  <w:rFonts w:ascii="Calibri" w:hAnsi="Calibri"/>
                  <w:color w:val="0563C1"/>
                  <w:u w:val="single"/>
                  <w:sz w:val="19"/>
                  <w:szCs w:val="19"/>
                </w:rPr>
                <w:t>///crazy.sonar.merrier</w:t>
              </w:r>
            </w:hyperlink>
          </w:p>
        </w:tc>
      </w:tr>
      <w:tr>
        <w:trPr>
          <w:cantSplit w:val="true"/>
        </w:trPr>
        <w:tc>
          <w:tcPr>
            <w:tcW w:type="dxa" w:w="27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Legacy continuity</w:t>
            </w:r>
          </w:p>
        </w:tc>
        <w:tc>
          <w:tcPr>
            <w:tcW w:type="dxa" w:w="6660"/>
            <w:vAlign w:val="center"/>
            <w:tcMar>
              <w:top w:w="80" w:type="dxa"/>
              <w:start w:w="120" w:type="dxa"/>
              <w:bottom w:w="80" w:type="dxa"/>
              <w:end w:w="120" w:type="dxa"/>
            </w:tcMar>
          </w:tcPr>
          <w:p>
            <w:pPr>
              <w:spacing w:before="0" w:after="0" w:line="259" w:lineRule="auto"/>
            </w:pPr>
            <w:r>
              <w:rPr>
                <w:rFonts w:ascii="Calibri" w:hAnsi="Calibri"/>
                <w:color w:val="222222"/>
                <w:sz w:val="19"/>
              </w:rPr>
              <w:t>Dr. Oliver E. Jones's Infant and Primary School | First SourceEnergy Foundation Community Resource Center planted here in 2006</w:t>
            </w:r>
          </w:p>
        </w:tc>
      </w:tr>
      <w:tr>
        <w:trPr>
          <w:cantSplit w:val="true"/>
        </w:trPr>
        <w:tc>
          <w:tcPr>
            <w:tcW w:type="dxa" w:w="27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Capital legacy commitment</w:t>
            </w:r>
          </w:p>
        </w:tc>
        <w:tc>
          <w:tcPr>
            <w:tcW w:type="dxa" w:w="6660"/>
            <w:vAlign w:val="center"/>
            <w:tcMar>
              <w:top w:w="80" w:type="dxa"/>
              <w:start w:w="120" w:type="dxa"/>
              <w:bottom w:w="80" w:type="dxa"/>
              <w:end w:w="120" w:type="dxa"/>
            </w:tcMar>
          </w:tcPr>
          <w:p>
            <w:pPr>
              <w:spacing w:before="0" w:after="0" w:line="259" w:lineRule="auto"/>
            </w:pPr>
            <w:r>
              <w:rPr>
                <w:rFonts w:ascii="Calibri" w:hAnsi="Calibri"/>
                <w:color w:val="222222"/>
                <w:sz w:val="19"/>
              </w:rPr>
              <w:t>Expand the Community Resource Center and lead a school-approved campus transformation anchored by a Sportsplex</w:t>
            </w:r>
          </w:p>
        </w:tc>
      </w:tr>
      <w:tr>
        <w:trPr>
          <w:cantSplit w:val="true"/>
        </w:trPr>
        <w:tc>
          <w:tcPr>
            <w:tcW w:type="dxa" w:w="27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Partnership status</w:t>
            </w:r>
          </w:p>
        </w:tc>
        <w:tc>
          <w:tcPr>
            <w:tcW w:type="dxa" w:w="6660"/>
            <w:vAlign w:val="center"/>
            <w:tcMar>
              <w:top w:w="80" w:type="dxa"/>
              <w:start w:w="120" w:type="dxa"/>
              <w:bottom w:w="80" w:type="dxa"/>
              <w:end w:w="120" w:type="dxa"/>
            </w:tcMar>
          </w:tcPr>
          <w:p>
            <w:pPr>
              <w:spacing w:before="0" w:after="0" w:line="259" w:lineRule="auto"/>
            </w:pPr>
            <w:r>
              <w:rPr>
                <w:rFonts w:ascii="Calibri" w:hAnsi="Calibri"/>
                <w:color w:val="222222"/>
                <w:sz w:val="19"/>
              </w:rPr>
              <w:t>SourceEnergy Foundation strategic commitment announced; final scope, financing, approvals and delivery schedule remain to be formalised</w:t>
            </w:r>
          </w:p>
        </w:tc>
      </w:tr>
      <w:tr>
        <w:trPr>
          <w:cantSplit w:val="true"/>
        </w:trPr>
        <w:tc>
          <w:tcPr>
            <w:tcW w:type="dxa" w:w="27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Anniversary activation</w:t>
            </w:r>
          </w:p>
        </w:tc>
        <w:tc>
          <w:tcPr>
            <w:tcW w:type="dxa" w:w="6660"/>
            <w:vAlign w:val="center"/>
            <w:tcMar>
              <w:top w:w="80" w:type="dxa"/>
              <w:start w:w="120" w:type="dxa"/>
              <w:bottom w:w="80" w:type="dxa"/>
              <w:end w:w="120" w:type="dxa"/>
            </w:tcMar>
          </w:tcPr>
          <w:p>
            <w:pPr>
              <w:spacing w:before="0" w:after="0" w:line="259" w:lineRule="auto"/>
            </w:pPr>
            <w:r>
              <w:rPr>
                <w:rFonts w:ascii="Calibri" w:hAnsi="Calibri"/>
                <w:color w:val="222222"/>
                <w:sz w:val="19"/>
              </w:rPr>
              <w:t>SPPIS 60th Anniversary Celebration Year | Commences 19 October 2026 | Continues through October 2027</w:t>
            </w:r>
          </w:p>
        </w:tc>
      </w:tr>
      <w:tr>
        <w:trPr>
          <w:cantSplit w:val="true"/>
        </w:trPr>
        <w:tc>
          <w:tcPr>
            <w:tcW w:type="dxa" w:w="27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Immediate verification</w:t>
            </w:r>
          </w:p>
        </w:tc>
        <w:tc>
          <w:tcPr>
            <w:tcW w:type="dxa" w:w="6660"/>
            <w:vAlign w:val="center"/>
            <w:tcMar>
              <w:top w:w="80" w:type="dxa"/>
              <w:start w:w="120" w:type="dxa"/>
              <w:bottom w:w="80" w:type="dxa"/>
              <w:end w:w="120" w:type="dxa"/>
            </w:tcMar>
          </w:tcPr>
          <w:p>
            <w:pPr>
              <w:spacing w:before="0" w:after="0" w:line="259" w:lineRule="auto"/>
            </w:pPr>
            <w:r>
              <w:rPr>
                <w:rFonts w:ascii="Calibri" w:hAnsi="Calibri"/>
                <w:color w:val="222222"/>
                <w:sz w:val="19"/>
              </w:rPr>
              <w:t>Anniversary mandate, school priorities, site feasibility, Sportsplex programme, capital plan, approvals, operations and maintenance</w:t>
            </w:r>
          </w:p>
        </w:tc>
      </w:tr>
    </w:tbl>
    <w:p>
      <w:pPr>
        <w:pStyle w:val="SourceNote"/>
      </w:pPr>
      <w:r>
        <w:t xml:space="preserve">Public classification source: </w:t>
      </w:r>
      <w:hyperlink r:id="rId14">
        <w:r>
          <w:rPr>
            <w:rFonts w:ascii="Calibri" w:hAnsi="Calibri"/>
            <w:color w:val="0563C1"/>
            <w:u w:val="single"/>
            <w:sz w:val="18"/>
            <w:szCs w:val="18"/>
          </w:rPr>
          <w:t>National Council on Education school listing</w:t>
        </w:r>
      </w:hyperlink>
      <w:r>
        <w:t>. Public-source details should be verified with school leadership before external circulation.</w:t>
      </w:r>
    </w:p>
    <w:p>
      <w:pPr>
        <w:pStyle w:val="Heading1"/>
        <w:keepNext/>
      </w:pPr>
      <w:r>
        <w:t>Partnership proposition</w:t>
      </w:r>
    </w:p>
    <w:p>
      <w:pPr/>
      <w:r>
        <w:t>Scotts Pass Primary and Infant School (SPPIS) is a return-to-origin legacy site for SourceEnergy. Dr. Oliver E. Jones attended the school for infant and primary education, and in 2006 SourceEnergy Foundation planted its first Community Resource Center there. The school's 60th Anniversary Celebration Year, commencing 19 October 2026, provides the governed platform for renewing that legacy and activating the next generation of education, entrepreneurship and community capability.</w:t>
      </w:r>
    </w:p>
    <w:p>
      <w:pPr/>
      <w:r>
        <w:t>SourceEnergy Foundation commits to leading the expansion of the Community Resource Center and mobilising a school-approved campus transformation anchored by a Sportsplex. This is a strategic development and resource-mobilisation commitment; the final scope, facilities, capital stack, site plan, approvals, procurement, construction phasing, ownership, operating model and lifecycle maintenance plan must be formalised before works begin.</w:t>
      </w:r>
    </w:p>
    <w:p>
      <w:pPr/>
      <w:r>
        <w:t>The anniversary-year question is not simply whether a calendar of events is delivered. It is whether the programme leaves behind durable capability: stronger learning, better-supported teachers, healthier facilities, more engaged families, practical creativity and enterprise skills, and community systems able to sustain progress after the celebration ends.</w:t>
      </w:r>
    </w:p>
    <w:p>
      <w:pPr/>
      <w:r>
        <w:t>This reflects the Wealth Ecology Model and the mission of The Oliver E. Jones Center for Global Entrepreneurship: growth should expand the productive capacity of the people and places that make it possible.</w:t>
      </w:r>
    </w:p>
    <w:p>
      <w:pPr>
        <w:pStyle w:val="Heading1"/>
        <w:keepNext/>
      </w:pPr>
      <w:r>
        <w:t>Institutional and community context</w:t>
      </w:r>
    </w:p>
    <w:p>
      <w:pPr/>
      <w:r>
        <w:t>The National Council on Education lists Scotts Pass Primary &amp; Infant as a government-owned Primary and Infant institution in Region 6, Clarendon. Its public board profile reflects representation from school leadership, academic staff, the PTA and the community - an important foundation for a partnership designed around accountable local voice.</w:t>
      </w:r>
    </w:p>
    <w:p>
      <w:pPr/>
      <w:r>
        <w:t xml:space="preserve">For field coordination, use </w:t>
      </w:r>
      <w:hyperlink r:id="rId13">
        <w:r>
          <w:rPr>
            <w:rFonts w:ascii="Calibri" w:hAnsi="Calibri"/>
            <w:color w:val="0563C1"/>
            <w:u w:val="single"/>
            <w:sz w:val="21"/>
            <w:szCs w:val="21"/>
          </w:rPr>
          <w:t>///crazy.sonar.merrier</w:t>
        </w:r>
      </w:hyperlink>
      <w:r>
        <w:t xml:space="preserve"> as the precise three-metre location reference supplied for the school. Confirm the entrance, access route and coordinates during the baseline site visit.</w:t>
      </w:r>
    </w:p>
    <w:p>
      <w:pPr>
        <w:pStyle w:val="SourceNote"/>
      </w:pPr>
      <w:r>
        <w:t xml:space="preserve">Location-reference format source: </w:t>
      </w:r>
      <w:hyperlink r:id="rId15">
        <w:r>
          <w:rPr>
            <w:rFonts w:ascii="Calibri" w:hAnsi="Calibri"/>
            <w:color w:val="0563C1"/>
            <w:u w:val="single"/>
            <w:sz w:val="18"/>
            <w:szCs w:val="18"/>
          </w:rPr>
          <w:t>what3words, What is a what3words address?</w:t>
        </w:r>
      </w:hyperlink>
      <w:r>
        <w:t>.</w:t>
      </w:r>
    </w:p>
    <w:p>
      <w:pPr/>
      <w:r>
        <w:t>The school also has a documented history of public infrastructure support. A 2019 Jamaica Social Investment Fund evaluation document lists Scotts Pass Primary and Infant among schools included in Phases 1 and 2 of the PetroCaribe/JSIF Schools Sanitation Project. That record establishes prior investment in safer sanitation and WASH capability; it does not establish the current condition of facilities, which should be validated through a school-led baseline review.</w:t>
      </w:r>
    </w:p>
    <w:p>
      <w:pPr>
        <w:pStyle w:val="SourceNote"/>
      </w:pPr>
      <w:r>
        <w:t xml:space="preserve">Historical infrastructure source: </w:t>
      </w:r>
      <w:hyperlink r:id="rId16">
        <w:r>
          <w:rPr>
            <w:rFonts w:ascii="Calibri" w:hAnsi="Calibri"/>
            <w:color w:val="0563C1"/>
            <w:u w:val="single"/>
            <w:sz w:val="18"/>
            <w:szCs w:val="18"/>
          </w:rPr>
          <w:t>Jamaica Social Investment Fund, School Sanitation Project evaluation terms of reference (2019)</w:t>
        </w:r>
      </w:hyperlink>
      <w:r>
        <w:t>.</w:t>
      </w:r>
    </w:p>
    <w:p>
      <w:pPr/>
      <w:r>
        <w:t>Within the broader SourceEnergy concept, Scotts Pass and St Toolies form a place-based development corridor connected to Toll Gate, Clarendon Park, Porus, Williamsfield, May Pen and wider Jamaican and diaspora networks. The St Toolies River Park is envisioned as a community gateway for education, culture, agriculture, enterprise and resilience. The school's role should begin locally and practically, then scale only when governance, evidence and community consent support expansion.</w:t>
      </w:r>
    </w:p>
    <w:p>
      <w:pPr>
        <w:pStyle w:val="Heading1"/>
        <w:keepNext/>
      </w:pPr>
      <w:r>
        <w:t>Shared outcomes</w:t>
      </w:r>
    </w:p>
    <w:p>
      <w:pPr>
        <w:keepLines/>
        <w:numPr>
          <w:ilvl w:val="0"/>
          <w:numId w:val="10"/>
        </w:numPr>
        <w:spacing w:after="40" w:line="259" w:lineRule="auto"/>
      </w:pPr>
      <w:r>
        <w:rPr>
          <w:b/>
          <w:sz w:val="21"/>
        </w:rPr>
        <w:t xml:space="preserve">Students: </w:t>
      </w:r>
      <w:r>
        <w:rPr>
          <w:sz w:val="21"/>
        </w:rPr>
        <w:t>gain stronger foundational learning, confidence, creativity, digital fluency, financial awareness and a visible pathway into future opportunity.</w:t>
      </w:r>
    </w:p>
    <w:p>
      <w:pPr>
        <w:keepLines/>
        <w:numPr>
          <w:ilvl w:val="0"/>
          <w:numId w:val="10"/>
        </w:numPr>
        <w:spacing w:after="40" w:line="259" w:lineRule="auto"/>
      </w:pPr>
      <w:r>
        <w:rPr>
          <w:b/>
          <w:sz w:val="21"/>
        </w:rPr>
        <w:t xml:space="preserve">Educators: </w:t>
      </w:r>
      <w:r>
        <w:rPr>
          <w:sz w:val="21"/>
        </w:rPr>
        <w:t>receive practical support, professional-learning opportunities, useful tools and access to mentors without displacing school leadership or adding unmanaged workload.</w:t>
      </w:r>
    </w:p>
    <w:p>
      <w:pPr>
        <w:keepLines/>
        <w:numPr>
          <w:ilvl w:val="0"/>
          <w:numId w:val="10"/>
        </w:numPr>
        <w:spacing w:after="40" w:line="259" w:lineRule="auto"/>
      </w:pPr>
      <w:r>
        <w:rPr>
          <w:b/>
          <w:sz w:val="21"/>
        </w:rPr>
        <w:t xml:space="preserve">Families: </w:t>
      </w:r>
      <w:r>
        <w:rPr>
          <w:sz w:val="21"/>
        </w:rPr>
        <w:t>gain trusted pathways into parenting support, digital access, health and WASH knowledge, livelihoods learning and community services.</w:t>
      </w:r>
    </w:p>
    <w:p>
      <w:pPr>
        <w:keepLines/>
        <w:numPr>
          <w:ilvl w:val="0"/>
          <w:numId w:val="10"/>
        </w:numPr>
        <w:spacing w:after="40" w:line="259" w:lineRule="auto"/>
      </w:pPr>
      <w:r>
        <w:rPr>
          <w:b/>
          <w:sz w:val="21"/>
        </w:rPr>
        <w:t xml:space="preserve">Community: </w:t>
      </w:r>
      <w:r>
        <w:rPr>
          <w:sz w:val="21"/>
        </w:rPr>
        <w:t>builds a stronger bridge among the school, St Toolies River Park, farmers, vendors, creators, employers, churches, civic groups and local institutions.</w:t>
      </w:r>
    </w:p>
    <w:p>
      <w:pPr>
        <w:keepLines/>
        <w:numPr>
          <w:ilvl w:val="0"/>
          <w:numId w:val="10"/>
        </w:numPr>
        <w:spacing w:after="40" w:line="259" w:lineRule="auto"/>
      </w:pPr>
      <w:r>
        <w:rPr>
          <w:b/>
          <w:sz w:val="21"/>
        </w:rPr>
        <w:t xml:space="preserve">Alumni, diaspora and partners: </w:t>
      </w:r>
      <w:r>
        <w:rPr>
          <w:sz w:val="21"/>
        </w:rPr>
        <w:t>reconnect through a transparent, needs-led channel for expertise, resources and long-term engagement with measurable outcomes.</w:t>
      </w:r>
    </w:p>
    <w:p>
      <w:pPr>
        <w:keepLines/>
        <w:numPr>
          <w:ilvl w:val="0"/>
          <w:numId w:val="10"/>
        </w:numPr>
        <w:spacing w:after="40" w:line="259" w:lineRule="auto"/>
      </w:pPr>
      <w:r>
        <w:rPr>
          <w:b/>
          <w:sz w:val="21"/>
        </w:rPr>
        <w:t xml:space="preserve">Future learners: </w:t>
      </w:r>
      <w:r>
        <w:rPr>
          <w:sz w:val="21"/>
        </w:rPr>
        <w:t>benefit from an articulated progression concept linking early childhood, primary education, a future Scotts Pass High School and community-to-global entrepreneurship pathways.</w:t>
      </w:r>
    </w:p>
    <w:p>
      <w:pPr>
        <w:pStyle w:val="Heading1"/>
        <w:keepNext/>
      </w:pPr>
      <w:r>
        <w:t>Proposed partnership architecture</w:t>
      </w:r>
    </w:p>
    <w:p>
      <w:pPr/>
      <w:r>
        <w:t>The architecture is designed to keep authority where it belongs while enabling complementary capability. Proposed roles are not appointments or commitments; they are a basis for consultation and an eventual memorandum of understanding.</w:t>
      </w:r>
    </w:p>
    <w:tbl>
      <w:tblPr>
        <w:tblW w:type="dxa" w:w="9360"/>
        <w:jc w:val="left"/>
        <w:tblLayout w:type="fixed"/>
        <w:tblLook w:firstColumn="1" w:firstRow="1" w:lastColumn="0" w:lastRow="0" w:noHBand="0" w:noVBand="1" w:val="04A0"/>
        <w:tblInd w:w="120" w:type="dxa"/>
        <w:tblBorders>
          <w:top w:val="single" w:sz="6" w:space="0" w:color="D7DDE5"/>
          <w:left w:val="single" w:sz="6" w:space="0" w:color="D7DDE5"/>
          <w:bottom w:val="single" w:sz="6" w:space="0" w:color="D7DDE5"/>
          <w:right w:val="single" w:sz="6" w:space="0" w:color="D7DDE5"/>
          <w:insideH w:val="single" w:sz="6" w:space="0" w:color="D7DDE5"/>
          <w:insideV w:val="single" w:sz="6" w:space="0" w:color="D7DDE5"/>
        </w:tblBorders>
      </w:tblPr>
      <w:tblGrid>
        <w:gridCol w:w="2500"/>
        <w:gridCol w:w="3580"/>
        <w:gridCol w:w="3280"/>
      </w:tblGrid>
      <w:tr>
        <w:trPr>
          <w:tblHeader w:val="true"/>
          <w:cantSplit w:val="true"/>
        </w:trPr>
        <w:tc>
          <w:tcPr>
            <w:tcW w:type="dxa" w:w="2500"/>
            <w:shd w:fill="0B2545" w:val="clear"/>
            <w:vAlign w:val="center"/>
            <w:tcMar>
              <w:top w:w="80" w:type="dxa"/>
              <w:start w:w="120" w:type="dxa"/>
              <w:bottom w:w="80" w:type="dxa"/>
              <w:end w:w="120" w:type="dxa"/>
            </w:tcMar>
          </w:tcPr>
          <w:p>
            <w:pPr>
              <w:spacing w:before="0" w:after="0" w:line="259" w:lineRule="auto"/>
            </w:pPr>
            <w:r>
              <w:rPr>
                <w:rFonts w:ascii="Calibri" w:hAnsi="Calibri"/>
                <w:b/>
                <w:color w:val="FFFFFF"/>
                <w:sz w:val="18"/>
              </w:rPr>
              <w:t>Partner / stakeholder</w:t>
            </w:r>
          </w:p>
        </w:tc>
        <w:tc>
          <w:tcPr>
            <w:tcW w:type="dxa" w:w="3580"/>
            <w:shd w:fill="0B2545" w:val="clear"/>
            <w:vAlign w:val="center"/>
            <w:tcMar>
              <w:top w:w="80" w:type="dxa"/>
              <w:start w:w="120" w:type="dxa"/>
              <w:bottom w:w="80" w:type="dxa"/>
              <w:end w:w="120" w:type="dxa"/>
            </w:tcMar>
          </w:tcPr>
          <w:p>
            <w:pPr>
              <w:spacing w:before="0" w:after="0" w:line="259" w:lineRule="auto"/>
            </w:pPr>
            <w:r>
              <w:rPr>
                <w:rFonts w:ascii="Calibri" w:hAnsi="Calibri"/>
                <w:b/>
                <w:color w:val="FFFFFF"/>
                <w:sz w:val="18"/>
              </w:rPr>
              <w:t>Proposed contribution</w:t>
            </w:r>
          </w:p>
        </w:tc>
        <w:tc>
          <w:tcPr>
            <w:tcW w:type="dxa" w:w="3280"/>
            <w:shd w:fill="0B2545" w:val="clear"/>
            <w:vAlign w:val="center"/>
            <w:tcMar>
              <w:top w:w="80" w:type="dxa"/>
              <w:start w:w="120" w:type="dxa"/>
              <w:bottom w:w="80" w:type="dxa"/>
              <w:end w:w="120" w:type="dxa"/>
            </w:tcMar>
          </w:tcPr>
          <w:p>
            <w:pPr>
              <w:spacing w:before="0" w:after="0" w:line="259" w:lineRule="auto"/>
            </w:pPr>
            <w:r>
              <w:rPr>
                <w:rFonts w:ascii="Calibri" w:hAnsi="Calibri"/>
                <w:b/>
                <w:color w:val="FFFFFF"/>
                <w:sz w:val="18"/>
              </w:rPr>
              <w:t>Authority boundary</w:t>
            </w:r>
          </w:p>
        </w:tc>
      </w:tr>
      <w:tr>
        <w:trPr>
          <w:cantSplit w:val="true"/>
        </w:trPr>
        <w:tc>
          <w:tcPr>
            <w:tcW w:type="dxa" w:w="2500"/>
            <w:vAlign w:val="center"/>
            <w:tcMar>
              <w:top w:w="80" w:type="dxa"/>
              <w:start w:w="120" w:type="dxa"/>
              <w:bottom w:w="80" w:type="dxa"/>
              <w:end w:w="120" w:type="dxa"/>
            </w:tcMar>
          </w:tcPr>
          <w:p>
            <w:pPr>
              <w:spacing w:before="0" w:after="0" w:line="259" w:lineRule="auto"/>
            </w:pPr>
            <w:r>
              <w:rPr>
                <w:rFonts w:ascii="Calibri" w:hAnsi="Calibri"/>
                <w:b/>
                <w:color w:val="222222"/>
                <w:sz w:val="18"/>
              </w:rPr>
              <w:t>Scotts Pass Primary &amp; Infant School</w:t>
            </w:r>
          </w:p>
        </w:tc>
        <w:tc>
          <w:tcPr>
            <w:tcW w:type="dxa" w:w="3580"/>
            <w:vAlign w:val="center"/>
            <w:tcMar>
              <w:top w:w="80" w:type="dxa"/>
              <w:start w:w="120" w:type="dxa"/>
              <w:bottom w:w="80" w:type="dxa"/>
              <w:end w:w="120" w:type="dxa"/>
            </w:tcMar>
          </w:tcPr>
          <w:p>
            <w:pPr>
              <w:spacing w:before="0" w:after="0" w:line="259" w:lineRule="auto"/>
            </w:pPr>
            <w:r>
              <w:rPr>
                <w:rFonts w:ascii="Calibri" w:hAnsi="Calibri"/>
                <w:color w:val="222222"/>
                <w:sz w:val="18"/>
              </w:rPr>
              <w:t>Define learner and school priorities; nominate staff leads; host approved activities; integrate age-appropriate learning.</w:t>
            </w:r>
          </w:p>
        </w:tc>
        <w:tc>
          <w:tcPr>
            <w:tcW w:type="dxa" w:w="3280"/>
            <w:vAlign w:val="center"/>
            <w:tcMar>
              <w:top w:w="80" w:type="dxa"/>
              <w:start w:w="120" w:type="dxa"/>
              <w:bottom w:w="80" w:type="dxa"/>
              <w:end w:w="120" w:type="dxa"/>
            </w:tcMar>
          </w:tcPr>
          <w:p>
            <w:pPr>
              <w:spacing w:before="0" w:after="0" w:line="259" w:lineRule="auto"/>
            </w:pPr>
            <w:r>
              <w:rPr>
                <w:rFonts w:ascii="Calibri" w:hAnsi="Calibri"/>
                <w:color w:val="222222"/>
                <w:sz w:val="18"/>
              </w:rPr>
              <w:t>Retains control of students, timetable, campus access, safeguarding and instructional decisions.</w:t>
            </w:r>
          </w:p>
        </w:tc>
      </w:tr>
      <w:tr>
        <w:trPr>
          <w:cantSplit w:val="true"/>
        </w:trPr>
        <w:tc>
          <w:tcPr>
            <w:tcW w:type="dxa" w:w="2500"/>
            <w:shd w:fill="F8FAFC" w:val="clear"/>
            <w:vAlign w:val="center"/>
            <w:tcMar>
              <w:top w:w="80" w:type="dxa"/>
              <w:start w:w="120" w:type="dxa"/>
              <w:bottom w:w="80" w:type="dxa"/>
              <w:end w:w="120" w:type="dxa"/>
            </w:tcMar>
          </w:tcPr>
          <w:p>
            <w:pPr>
              <w:spacing w:before="0" w:after="0" w:line="259" w:lineRule="auto"/>
            </w:pPr>
            <w:r>
              <w:rPr>
                <w:rFonts w:ascii="Calibri" w:hAnsi="Calibri"/>
                <w:b/>
                <w:color w:val="222222"/>
                <w:sz w:val="18"/>
              </w:rPr>
              <w:t>School Board and PTA</w:t>
            </w:r>
          </w:p>
        </w:tc>
        <w:tc>
          <w:tcPr>
            <w:tcW w:type="dxa" w:w="358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Provide governance, parent voice, community legitimacy, approvals and accountability oversight.</w:t>
            </w:r>
          </w:p>
        </w:tc>
        <w:tc>
          <w:tcPr>
            <w:tcW w:type="dxa" w:w="328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All formal obligations remain subject to applicable Ministry, board and school procedures.</w:t>
            </w:r>
          </w:p>
        </w:tc>
      </w:tr>
      <w:tr>
        <w:trPr>
          <w:cantSplit w:val="true"/>
        </w:trPr>
        <w:tc>
          <w:tcPr>
            <w:tcW w:type="dxa" w:w="2500"/>
            <w:vAlign w:val="center"/>
            <w:tcMar>
              <w:top w:w="80" w:type="dxa"/>
              <w:start w:w="120" w:type="dxa"/>
              <w:bottom w:w="80" w:type="dxa"/>
              <w:end w:w="120" w:type="dxa"/>
            </w:tcMar>
          </w:tcPr>
          <w:p>
            <w:pPr>
              <w:spacing w:before="0" w:after="0" w:line="259" w:lineRule="auto"/>
            </w:pPr>
            <w:r>
              <w:rPr>
                <w:rFonts w:ascii="Calibri" w:hAnsi="Calibri"/>
                <w:b/>
                <w:color w:val="222222"/>
                <w:sz w:val="18"/>
              </w:rPr>
              <w:t>SourceEnergy Foundation</w:t>
            </w:r>
          </w:p>
        </w:tc>
        <w:tc>
          <w:tcPr>
            <w:tcW w:type="dxa" w:w="3580"/>
            <w:vAlign w:val="center"/>
            <w:tcMar>
              <w:top w:w="80" w:type="dxa"/>
              <w:start w:w="120" w:type="dxa"/>
              <w:bottom w:w="80" w:type="dxa"/>
              <w:end w:w="120" w:type="dxa"/>
            </w:tcMar>
          </w:tcPr>
          <w:p>
            <w:pPr>
              <w:spacing w:before="0" w:after="0" w:line="259" w:lineRule="auto"/>
            </w:pPr>
            <w:r>
              <w:rPr>
                <w:rFonts w:ascii="Calibri" w:hAnsi="Calibri"/>
                <w:color w:val="222222"/>
                <w:sz w:val="18"/>
              </w:rPr>
              <w:t>Lead the anniversary programme; expand the Community Resource Center; commission feasibility, capital planning and implementation for a school-approved Sportsplex and campus transformation.</w:t>
            </w:r>
          </w:p>
        </w:tc>
        <w:tc>
          <w:tcPr>
            <w:tcW w:type="dxa" w:w="3280"/>
            <w:vAlign w:val="center"/>
            <w:tcMar>
              <w:top w:w="80" w:type="dxa"/>
              <w:start w:w="120" w:type="dxa"/>
              <w:bottom w:w="80" w:type="dxa"/>
              <w:end w:w="120" w:type="dxa"/>
            </w:tcMar>
          </w:tcPr>
          <w:p>
            <w:pPr>
              <w:spacing w:before="0" w:after="0" w:line="259" w:lineRule="auto"/>
            </w:pPr>
            <w:r>
              <w:rPr>
                <w:rFonts w:ascii="Calibri" w:hAnsi="Calibri"/>
                <w:color w:val="222222"/>
                <w:sz w:val="18"/>
              </w:rPr>
              <w:t>The commitment does not replace school, board, Ministry, land-use, planning, procurement, works, safeguarding or funding approvals; no construction before written authorisation and a funded operations and maintenance plan.</w:t>
            </w:r>
          </w:p>
        </w:tc>
      </w:tr>
      <w:tr>
        <w:trPr>
          <w:cantSplit w:val="true"/>
        </w:trPr>
        <w:tc>
          <w:tcPr>
            <w:tcW w:type="dxa" w:w="2500"/>
            <w:shd w:fill="F8FAFC" w:val="clear"/>
            <w:vAlign w:val="center"/>
            <w:tcMar>
              <w:top w:w="80" w:type="dxa"/>
              <w:start w:w="120" w:type="dxa"/>
              <w:bottom w:w="80" w:type="dxa"/>
              <w:end w:w="120" w:type="dxa"/>
            </w:tcMar>
          </w:tcPr>
          <w:p>
            <w:pPr>
              <w:spacing w:before="0" w:after="0" w:line="259" w:lineRule="auto"/>
            </w:pPr>
            <w:r>
              <w:rPr>
                <w:rFonts w:ascii="Calibri" w:hAnsi="Calibri"/>
                <w:b/>
                <w:color w:val="222222"/>
                <w:sz w:val="18"/>
              </w:rPr>
              <w:t>The Oliver E. Jones Center for Global Entrepreneurship</w:t>
            </w:r>
          </w:p>
        </w:tc>
        <w:tc>
          <w:tcPr>
            <w:tcW w:type="dxa" w:w="358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Design age-appropriate enterprise, creativity and capability-building modules; support mentoring and measurement.</w:t>
            </w:r>
          </w:p>
        </w:tc>
        <w:tc>
          <w:tcPr>
            <w:tcW w:type="dxa" w:w="328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Programmes must align with school priorities, public-education requirements and child-safeguarding controls.</w:t>
            </w:r>
          </w:p>
        </w:tc>
      </w:tr>
      <w:tr>
        <w:trPr>
          <w:cantSplit w:val="true"/>
        </w:trPr>
        <w:tc>
          <w:tcPr>
            <w:tcW w:type="dxa" w:w="2500"/>
            <w:vAlign w:val="center"/>
            <w:tcMar>
              <w:top w:w="80" w:type="dxa"/>
              <w:start w:w="120" w:type="dxa"/>
              <w:bottom w:w="80" w:type="dxa"/>
              <w:end w:w="120" w:type="dxa"/>
            </w:tcMar>
          </w:tcPr>
          <w:p>
            <w:pPr>
              <w:spacing w:before="0" w:after="0" w:line="259" w:lineRule="auto"/>
            </w:pPr>
            <w:r>
              <w:rPr>
                <w:rFonts w:ascii="Calibri" w:hAnsi="Calibri"/>
                <w:b/>
                <w:color w:val="222222"/>
                <w:sz w:val="18"/>
              </w:rPr>
              <w:t>St Toolies Community Trust (proposed partner)</w:t>
            </w:r>
          </w:p>
        </w:tc>
        <w:tc>
          <w:tcPr>
            <w:tcW w:type="dxa" w:w="3580"/>
            <w:vAlign w:val="center"/>
            <w:tcMar>
              <w:top w:w="80" w:type="dxa"/>
              <w:start w:w="120" w:type="dxa"/>
              <w:bottom w:w="80" w:type="dxa"/>
              <w:end w:w="120" w:type="dxa"/>
            </w:tcMar>
          </w:tcPr>
          <w:p>
            <w:pPr>
              <w:spacing w:before="0" w:after="0" w:line="259" w:lineRule="auto"/>
            </w:pPr>
            <w:r>
              <w:rPr>
                <w:rFonts w:ascii="Calibri" w:hAnsi="Calibri"/>
                <w:color w:val="222222"/>
                <w:sz w:val="18"/>
              </w:rPr>
              <w:t>Represent local stewardship; mobilise community knowledge and volunteers; support continuity and place-based ownership.</w:t>
            </w:r>
          </w:p>
        </w:tc>
        <w:tc>
          <w:tcPr>
            <w:tcW w:type="dxa" w:w="3280"/>
            <w:vAlign w:val="center"/>
            <w:tcMar>
              <w:top w:w="80" w:type="dxa"/>
              <w:start w:w="120" w:type="dxa"/>
              <w:bottom w:w="80" w:type="dxa"/>
              <w:end w:w="120" w:type="dxa"/>
            </w:tcMar>
          </w:tcPr>
          <w:p>
            <w:pPr>
              <w:spacing w:before="0" w:after="0" w:line="259" w:lineRule="auto"/>
            </w:pPr>
            <w:r>
              <w:rPr>
                <w:rFonts w:ascii="Calibri" w:hAnsi="Calibri"/>
                <w:color w:val="222222"/>
                <w:sz w:val="18"/>
              </w:rPr>
              <w:t>Role and legal standing must be confirmed before the Trust assumes funds, land, assets or contractual duties.</w:t>
            </w:r>
          </w:p>
        </w:tc>
      </w:tr>
      <w:tr>
        <w:trPr>
          <w:cantSplit w:val="true"/>
        </w:trPr>
        <w:tc>
          <w:tcPr>
            <w:tcW w:type="dxa" w:w="2500"/>
            <w:shd w:fill="F8FAFC" w:val="clear"/>
            <w:vAlign w:val="center"/>
            <w:tcMar>
              <w:top w:w="80" w:type="dxa"/>
              <w:start w:w="120" w:type="dxa"/>
              <w:bottom w:w="80" w:type="dxa"/>
              <w:end w:w="120" w:type="dxa"/>
            </w:tcMar>
          </w:tcPr>
          <w:p>
            <w:pPr>
              <w:spacing w:before="0" w:after="0" w:line="259" w:lineRule="auto"/>
            </w:pPr>
            <w:r>
              <w:rPr>
                <w:rFonts w:ascii="Calibri" w:hAnsi="Calibri"/>
                <w:b/>
                <w:color w:val="222222"/>
                <w:sz w:val="18"/>
              </w:rPr>
              <w:t>St Toolies River Park Centre for Global Entrepreneurship (proposed)</w:t>
            </w:r>
          </w:p>
        </w:tc>
        <w:tc>
          <w:tcPr>
            <w:tcW w:type="dxa" w:w="358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Provide a complementary off-campus venue for family learning, community enterprise, culture and youth progression.</w:t>
            </w:r>
          </w:p>
        </w:tc>
        <w:tc>
          <w:tcPr>
            <w:tcW w:type="dxa" w:w="328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The Centre is a future platform and must not be represented as operational until formally established and approved.</w:t>
            </w:r>
          </w:p>
        </w:tc>
      </w:tr>
      <w:tr>
        <w:trPr>
          <w:cantSplit w:val="true"/>
        </w:trPr>
        <w:tc>
          <w:tcPr>
            <w:tcW w:type="dxa" w:w="2500"/>
            <w:vAlign w:val="center"/>
            <w:tcMar>
              <w:top w:w="80" w:type="dxa"/>
              <w:start w:w="120" w:type="dxa"/>
              <w:bottom w:w="80" w:type="dxa"/>
              <w:end w:w="120" w:type="dxa"/>
            </w:tcMar>
          </w:tcPr>
          <w:p>
            <w:pPr>
              <w:spacing w:before="0" w:after="0" w:line="259" w:lineRule="auto"/>
            </w:pPr>
            <w:r>
              <w:rPr>
                <w:rFonts w:ascii="Calibri" w:hAnsi="Calibri"/>
                <w:b/>
                <w:color w:val="222222"/>
                <w:sz w:val="18"/>
              </w:rPr>
              <w:t>Government and technical agencies</w:t>
            </w:r>
          </w:p>
        </w:tc>
        <w:tc>
          <w:tcPr>
            <w:tcW w:type="dxa" w:w="3580"/>
            <w:vAlign w:val="center"/>
            <w:tcMar>
              <w:top w:w="80" w:type="dxa"/>
              <w:start w:w="120" w:type="dxa"/>
              <w:bottom w:w="80" w:type="dxa"/>
              <w:end w:w="120" w:type="dxa"/>
            </w:tcMar>
          </w:tcPr>
          <w:p>
            <w:pPr>
              <w:spacing w:before="0" w:after="0" w:line="259" w:lineRule="auto"/>
            </w:pPr>
            <w:r>
              <w:rPr>
                <w:rFonts w:ascii="Calibri" w:hAnsi="Calibri"/>
                <w:color w:val="222222"/>
                <w:sz w:val="18"/>
              </w:rPr>
              <w:t>Provide regulatory guidance, technical standards, referrals and potential programme alignment.</w:t>
            </w:r>
          </w:p>
        </w:tc>
        <w:tc>
          <w:tcPr>
            <w:tcW w:type="dxa" w:w="3280"/>
            <w:vAlign w:val="center"/>
            <w:tcMar>
              <w:top w:w="80" w:type="dxa"/>
              <w:start w:w="120" w:type="dxa"/>
              <w:bottom w:w="80" w:type="dxa"/>
              <w:end w:w="120" w:type="dxa"/>
            </w:tcMar>
          </w:tcPr>
          <w:p>
            <w:pPr>
              <w:spacing w:before="0" w:after="0" w:line="259" w:lineRule="auto"/>
            </w:pPr>
            <w:r>
              <w:rPr>
                <w:rFonts w:ascii="Calibri" w:hAnsi="Calibri"/>
                <w:color w:val="222222"/>
                <w:sz w:val="18"/>
              </w:rPr>
              <w:t>Statutory approvals and public-sector standards cannot be delegated to private or community partners.</w:t>
            </w:r>
          </w:p>
        </w:tc>
      </w:tr>
      <w:tr>
        <w:trPr>
          <w:cantSplit w:val="true"/>
        </w:trPr>
        <w:tc>
          <w:tcPr>
            <w:tcW w:type="dxa" w:w="2500"/>
            <w:shd w:fill="F8FAFC" w:val="clear"/>
            <w:vAlign w:val="center"/>
            <w:tcMar>
              <w:top w:w="80" w:type="dxa"/>
              <w:start w:w="120" w:type="dxa"/>
              <w:bottom w:w="80" w:type="dxa"/>
              <w:end w:w="120" w:type="dxa"/>
            </w:tcMar>
          </w:tcPr>
          <w:p>
            <w:pPr>
              <w:spacing w:before="0" w:after="0" w:line="259" w:lineRule="auto"/>
            </w:pPr>
            <w:r>
              <w:rPr>
                <w:rFonts w:ascii="Calibri" w:hAnsi="Calibri"/>
                <w:b/>
                <w:color w:val="222222"/>
                <w:sz w:val="18"/>
              </w:rPr>
              <w:t>Diaspora, corporate and philanthropic partners</w:t>
            </w:r>
          </w:p>
        </w:tc>
        <w:tc>
          <w:tcPr>
            <w:tcW w:type="dxa" w:w="358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Offer expertise, equipment, sponsorship, mentoring and market connections under an approved partner plan.</w:t>
            </w:r>
          </w:p>
        </w:tc>
        <w:tc>
          <w:tcPr>
            <w:tcW w:type="dxa" w:w="328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Access to students, data, branding or facilities requires written approval and safeguarding compliance.</w:t>
            </w:r>
          </w:p>
        </w:tc>
      </w:tr>
      <w:tr>
        <w:trPr>
          <w:cantSplit w:val="true"/>
        </w:trPr>
        <w:tc>
          <w:tcPr>
            <w:tcW w:type="dxa" w:w="2500"/>
            <w:vAlign w:val="center"/>
            <w:tcMar>
              <w:top w:w="80" w:type="dxa"/>
              <w:start w:w="120" w:type="dxa"/>
              <w:bottom w:w="80" w:type="dxa"/>
              <w:end w:w="120" w:type="dxa"/>
            </w:tcMar>
          </w:tcPr>
          <w:p>
            <w:pPr>
              <w:spacing w:before="0" w:after="0" w:line="259" w:lineRule="auto"/>
            </w:pPr>
            <w:r>
              <w:rPr>
                <w:rFonts w:ascii="Calibri" w:hAnsi="Calibri"/>
                <w:b/>
                <w:color w:val="222222"/>
                <w:sz w:val="18"/>
              </w:rPr>
              <w:t>Future Scotts Pass High School</w:t>
            </w:r>
          </w:p>
        </w:tc>
        <w:tc>
          <w:tcPr>
            <w:tcW w:type="dxa" w:w="3580"/>
            <w:vAlign w:val="center"/>
            <w:tcMar>
              <w:top w:w="80" w:type="dxa"/>
              <w:start w:w="120" w:type="dxa"/>
              <w:bottom w:w="80" w:type="dxa"/>
              <w:end w:w="120" w:type="dxa"/>
            </w:tcMar>
          </w:tcPr>
          <w:p>
            <w:pPr>
              <w:spacing w:before="0" w:after="0" w:line="259" w:lineRule="auto"/>
            </w:pPr>
            <w:r>
              <w:rPr>
                <w:rFonts w:ascii="Calibri" w:hAnsi="Calibri"/>
                <w:color w:val="222222"/>
                <w:sz w:val="18"/>
              </w:rPr>
              <w:t>Create a long-term progression pathway from early learning into secondary, technical and enterprise development.</w:t>
            </w:r>
          </w:p>
        </w:tc>
        <w:tc>
          <w:tcPr>
            <w:tcW w:type="dxa" w:w="3280"/>
            <w:vAlign w:val="center"/>
            <w:tcMar>
              <w:top w:w="80" w:type="dxa"/>
              <w:start w:w="120" w:type="dxa"/>
              <w:bottom w:w="80" w:type="dxa"/>
              <w:end w:w="120" w:type="dxa"/>
            </w:tcMar>
          </w:tcPr>
          <w:p>
            <w:pPr>
              <w:spacing w:before="0" w:after="0" w:line="259" w:lineRule="auto"/>
            </w:pPr>
            <w:r>
              <w:rPr>
                <w:rFonts w:ascii="Calibri" w:hAnsi="Calibri"/>
                <w:color w:val="222222"/>
                <w:sz w:val="18"/>
              </w:rPr>
              <w:t>This is a strategic concept, not a current operating institution or committed delivery partner.</w:t>
            </w:r>
          </w:p>
        </w:tc>
      </w:tr>
    </w:tbl>
    <w:p>
      <w:pPr>
        <w:pStyle w:val="SourceNote"/>
      </w:pPr>
      <w:r>
        <w:rPr>
          <w:b/>
          <w:i/>
        </w:rPr>
        <w:t xml:space="preserve">Status note: </w:t>
      </w:r>
      <w:r>
        <w:rPr>
          <w:i/>
        </w:rPr>
        <w:t>Current entities, proposed entities and future concepts are deliberately distinguished. No partner should use the school's name, learners, data, facilities or brand before authorisation.</w:t>
      </w:r>
    </w:p>
    <w:p>
      <w:pPr>
        <w:pStyle w:val="Heading1"/>
        <w:keepNext/>
      </w:pPr>
      <w:r>
        <w:t>Programme pillars</w:t>
      </w:r>
    </w:p>
    <w:p>
      <w:pPr/>
      <w:r>
        <w:t>The final programme mix must come from school and community listening. The following pillars provide a balanced menu for co-design rather than a pre-approved curriculum.</w:t>
      </w:r>
    </w:p>
    <w:p>
      <w:pPr>
        <w:keepLines/>
        <w:numPr>
          <w:ilvl w:val="0"/>
          <w:numId w:val="11"/>
        </w:numPr>
        <w:spacing w:after="160" w:line="280" w:lineRule="auto"/>
      </w:pPr>
      <w:r>
        <w:rPr>
          <w:b/>
        </w:rPr>
        <w:t xml:space="preserve">Foundational learning and learning recovery. </w:t>
      </w:r>
      <w:r>
        <w:t>Reading, numeracy, developmental readiness, homework support and learner confidence, aligned with school-selected priorities.</w:t>
      </w:r>
    </w:p>
    <w:p>
      <w:pPr>
        <w:keepLines/>
        <w:numPr>
          <w:ilvl w:val="0"/>
          <w:numId w:val="11"/>
        </w:numPr>
        <w:spacing w:after="160" w:line="280" w:lineRule="auto"/>
      </w:pPr>
      <w:r>
        <w:rPr>
          <w:b/>
        </w:rPr>
        <w:t xml:space="preserve">Digital fluency and safe access. </w:t>
      </w:r>
      <w:r>
        <w:t>Teacher-supported devices, connectivity, age-appropriate digital skills, cyber safety and responsible use of emerging technology.</w:t>
      </w:r>
    </w:p>
    <w:p>
      <w:pPr>
        <w:keepLines/>
        <w:numPr>
          <w:ilvl w:val="0"/>
          <w:numId w:val="11"/>
        </w:numPr>
        <w:spacing w:after="160" w:line="280" w:lineRule="auto"/>
      </w:pPr>
      <w:r>
        <w:rPr>
          <w:b/>
        </w:rPr>
        <w:t xml:space="preserve">Creativity, enterprise and financial capability. </w:t>
      </w:r>
      <w:r>
        <w:t>Problem-solving, saving, value creation, teamwork, school gardens, mini-projects and market-day learning appropriate to each age group.</w:t>
      </w:r>
    </w:p>
    <w:p>
      <w:pPr>
        <w:keepLines/>
        <w:numPr>
          <w:ilvl w:val="0"/>
          <w:numId w:val="11"/>
        </w:numPr>
        <w:spacing w:after="160" w:line="280" w:lineRule="auto"/>
      </w:pPr>
      <w:r>
        <w:rPr>
          <w:b/>
        </w:rPr>
        <w:t xml:space="preserve">Health, sport, nutrition, WASH and wellbeing. </w:t>
      </w:r>
      <w:r>
        <w:t>Safe facilities, inclusive physical activity, the proposed Sportsplex, water stewardship, hygiene, nutrition, play, psychosocial support and practical maintenance routines.</w:t>
      </w:r>
    </w:p>
    <w:p>
      <w:pPr>
        <w:keepLines/>
        <w:numPr>
          <w:ilvl w:val="0"/>
          <w:numId w:val="11"/>
        </w:numPr>
        <w:spacing w:after="160" w:line="280" w:lineRule="auto"/>
      </w:pPr>
      <w:r>
        <w:rPr>
          <w:b/>
        </w:rPr>
        <w:t xml:space="preserve">Agriculture, climate and environmental stewardship. </w:t>
      </w:r>
      <w:r>
        <w:t>School-based growing, soil and water learning, biodiversity, disaster readiness and connection to local farmers and the river ecosystem.</w:t>
      </w:r>
    </w:p>
    <w:p>
      <w:pPr>
        <w:keepLines/>
        <w:numPr>
          <w:ilvl w:val="0"/>
          <w:numId w:val="11"/>
        </w:numPr>
        <w:spacing w:after="160" w:line="280" w:lineRule="auto"/>
      </w:pPr>
      <w:r>
        <w:rPr>
          <w:b/>
        </w:rPr>
        <w:t xml:space="preserve">Culture, identity and community heritage. </w:t>
      </w:r>
      <w:r>
        <w:t>60th-anniversary archives, oral history, music, art, local enterprise stories, civic responsibility and respect for the community's living heritage.</w:t>
      </w:r>
    </w:p>
    <w:p>
      <w:pPr>
        <w:keepLines/>
        <w:numPr>
          <w:ilvl w:val="0"/>
          <w:numId w:val="11"/>
        </w:numPr>
        <w:spacing w:after="160" w:line="280" w:lineRule="auto"/>
      </w:pPr>
      <w:r>
        <w:rPr>
          <w:b/>
        </w:rPr>
        <w:t xml:space="preserve">Family, diaspora and intergenerational mentorship. </w:t>
      </w:r>
      <w:r>
        <w:t>Structured opportunities for caregivers, elders, alumni and diaspora professionals to contribute safely and consistently.</w:t>
      </w:r>
    </w:p>
    <w:p>
      <w:pPr>
        <w:pStyle w:val="Heading1"/>
        <w:keepNext/>
      </w:pPr>
      <w:r>
        <w:t>Phased activation pathway</w:t>
      </w:r>
    </w:p>
    <w:p>
      <w:pPr>
        <w:keepLines/>
        <w:numPr>
          <w:ilvl w:val="0"/>
          <w:numId w:val="12"/>
        </w:numPr>
        <w:spacing w:after="160" w:line="280" w:lineRule="auto"/>
      </w:pPr>
      <w:r>
        <w:rPr>
          <w:b/>
        </w:rPr>
        <w:t xml:space="preserve">Phase 0 - Anniversary and capital readiness (1 September-18 October 2026). </w:t>
      </w:r>
      <w:r>
        <w:t>Appoint liaisons and a school-approved steering group; confirm anniversary authority and launch; complete the school baseline, Community Resource Center and Sportsplex feasibility, site and maintenance review, concept brief and risk register.</w:t>
      </w:r>
    </w:p>
    <w:p>
      <w:pPr>
        <w:keepLines/>
        <w:numPr>
          <w:ilvl w:val="0"/>
          <w:numId w:val="12"/>
        </w:numPr>
        <w:spacing w:after="160" w:line="280" w:lineRule="auto"/>
      </w:pPr>
      <w:r>
        <w:rPr>
          <w:b/>
        </w:rPr>
        <w:t xml:space="preserve">Phase 1 - Commence the Legacy Year (19 October 2026-January 2027). </w:t>
      </w:r>
      <w:r>
        <w:t>Open the year through a school-approved launch; activate alumni and diaspora outreach; publicly activate the capital legacy commitment only after school approval; commence campus master planning and authorised resource mobilisation; and deliver no more than two manageable quick wins.</w:t>
      </w:r>
    </w:p>
    <w:p>
      <w:pPr>
        <w:keepLines/>
        <w:numPr>
          <w:ilvl w:val="0"/>
          <w:numId w:val="12"/>
        </w:numPr>
        <w:spacing w:after="160" w:line="280" w:lineRule="auto"/>
      </w:pPr>
      <w:r>
        <w:rPr>
          <w:b/>
        </w:rPr>
        <w:t xml:space="preserve">Phase 2 - Deliver the anniversary portfolio (February-September 2027). </w:t>
      </w:r>
      <w:r>
        <w:t>Run approved learning and community activities; complete approved design, capital stack, permits, procurement and phased implementation planning; commence works only after all gates are cleared; and issue periodic partner updates.</w:t>
      </w:r>
    </w:p>
    <w:p>
      <w:pPr>
        <w:keepLines/>
        <w:numPr>
          <w:ilvl w:val="0"/>
          <w:numId w:val="12"/>
        </w:numPr>
        <w:spacing w:after="160" w:line="280" w:lineRule="auto"/>
      </w:pPr>
      <w:r>
        <w:rPr>
          <w:b/>
        </w:rPr>
        <w:t xml:space="preserve">Phase 3 - Culminate and commission the next cycle (October 2027). </w:t>
      </w:r>
      <w:r>
        <w:t>Close with a school-approved legacy showcase and impact report; commission any completed approved phase or publish the funded implementation pathway; transfer records and assets; and approve continuation.</w:t>
      </w:r>
    </w:p>
    <w:tbl>
      <w:tblPr>
        <w:tblW w:type="dxa" w:w="9360"/>
        <w:jc w:val="left"/>
        <w:tblLayout w:type="fixed"/>
        <w:tblLook w:firstColumn="1" w:firstRow="1" w:lastColumn="0" w:lastRow="0" w:noHBand="0" w:noVBand="1" w:val="04A0"/>
        <w:tblInd w:w="120" w:type="dxa"/>
      </w:tblPr>
      <w:tblGrid>
        <w:gridCol w:w="9360"/>
      </w:tblGrid>
      <w:tr>
        <w:trPr>
          <w:cantSplit w:val="true"/>
        </w:trPr>
        <w:tc>
          <w:tcPr>
            <w:tcW w:type="dxa" w:w="9360"/>
            <w:shd w:fill="E8EEF5" w:val="clear"/>
            <w:tcBorders>
              <w:top w:val="single" w:sz="6" w:space="0" w:color="D7DDE5"/>
              <w:bottom w:val="single" w:sz="6" w:space="0" w:color="D7DDE5"/>
              <w:left w:val="single" w:sz="18" w:space="0" w:color="2E74B5"/>
              <w:right w:val="single" w:sz="6" w:space="0" w:color="D7DDE5"/>
            </w:tcBorders>
            <w:vAlign w:val="center"/>
            <w:tcMar>
              <w:top w:w="80" w:type="dxa"/>
              <w:start w:w="120" w:type="dxa"/>
              <w:bottom w:w="80" w:type="dxa"/>
              <w:end w:w="120" w:type="dxa"/>
            </w:tcMar>
          </w:tcPr>
          <w:p>
            <w:pPr>
              <w:spacing w:before="20" w:after="20" w:line="264" w:lineRule="auto"/>
            </w:pPr>
            <w:r>
              <w:rPr>
                <w:rFonts w:ascii="Calibri" w:hAnsi="Calibri"/>
                <w:b/>
                <w:color w:val="0B2545"/>
                <w:sz w:val="21"/>
              </w:rPr>
              <w:t xml:space="preserve">Stage gate: </w:t>
            </w:r>
            <w:r>
              <w:rPr>
                <w:rFonts w:ascii="Calibri" w:hAnsi="Calibri"/>
                <w:color w:val="222222"/>
                <w:sz w:val="21"/>
              </w:rPr>
              <w:t>No anniversary phase, fundraising, capital work or public representation advances automatically. School leadership, the board and any required public authorities should review evidence, safeguarding, feasibility, cost, funding, maintenance capacity and partner performance before approving the next phase.</w:t>
            </w:r>
          </w:p>
        </w:tc>
      </w:tr>
    </w:tbl>
    <w:p>
      <w:pPr>
        <w:pStyle w:val="Heading1"/>
        <w:keepNext/>
      </w:pPr>
      <w:r>
        <w:t>Governance and safeguarding compact</w:t>
      </w:r>
    </w:p>
    <w:p>
      <w:pPr>
        <w:keepLines/>
        <w:numPr>
          <w:ilvl w:val="0"/>
          <w:numId w:val="10"/>
        </w:numPr>
        <w:spacing w:after="160" w:line="280" w:lineRule="auto"/>
      </w:pPr>
      <w:r>
        <w:rPr>
          <w:b/>
        </w:rPr>
        <w:t xml:space="preserve">School leadership first. </w:t>
      </w:r>
      <w:r>
        <w:t>The school defines educational priorities, campus access, scheduling and acceptable delivery arrangements.</w:t>
      </w:r>
    </w:p>
    <w:p>
      <w:pPr>
        <w:keepLines/>
        <w:numPr>
          <w:ilvl w:val="0"/>
          <w:numId w:val="10"/>
        </w:numPr>
        <w:spacing w:after="160" w:line="280" w:lineRule="auto"/>
      </w:pPr>
      <w:r>
        <w:rPr>
          <w:b/>
        </w:rPr>
        <w:t xml:space="preserve">Written authority. </w:t>
      </w:r>
      <w:r>
        <w:t>MOUs, branding, fundraising, procurement, data access, media activity and facility works require the applicable written approvals.</w:t>
      </w:r>
    </w:p>
    <w:p>
      <w:pPr>
        <w:keepLines/>
        <w:numPr>
          <w:ilvl w:val="0"/>
          <w:numId w:val="10"/>
        </w:numPr>
        <w:spacing w:after="160" w:line="280" w:lineRule="auto"/>
      </w:pPr>
      <w:r>
        <w:rPr>
          <w:b/>
        </w:rPr>
        <w:t xml:space="preserve">Child safeguarding. </w:t>
      </w:r>
      <w:r>
        <w:t>All adults, volunteers, mentors and vendors must meet approved vetting, conduct, supervision and reporting requirements.</w:t>
      </w:r>
    </w:p>
    <w:p>
      <w:pPr>
        <w:keepLines/>
        <w:numPr>
          <w:ilvl w:val="0"/>
          <w:numId w:val="10"/>
        </w:numPr>
        <w:spacing w:after="160" w:line="280" w:lineRule="auto"/>
      </w:pPr>
      <w:r>
        <w:rPr>
          <w:b/>
        </w:rPr>
        <w:t xml:space="preserve">Consent and privacy. </w:t>
      </w:r>
      <w:r>
        <w:t>Learner information, photographs, stories and performance data may be collected or shared only with lawful authority, minimum-necessary access and appropriate consent.</w:t>
      </w:r>
    </w:p>
    <w:p>
      <w:pPr>
        <w:keepLines/>
        <w:numPr>
          <w:ilvl w:val="0"/>
          <w:numId w:val="10"/>
        </w:numPr>
        <w:spacing w:after="160" w:line="280" w:lineRule="auto"/>
      </w:pPr>
      <w:r>
        <w:rPr>
          <w:b/>
        </w:rPr>
        <w:t xml:space="preserve">Inclusive and nonpartisan delivery. </w:t>
      </w:r>
      <w:r>
        <w:t>Programmes should serve eligible learners fairly, respect public-education requirements and remain insulated from party-political activity.</w:t>
      </w:r>
    </w:p>
    <w:p>
      <w:pPr>
        <w:keepLines/>
        <w:numPr>
          <w:ilvl w:val="0"/>
          <w:numId w:val="10"/>
        </w:numPr>
        <w:spacing w:after="160" w:line="280" w:lineRule="auto"/>
      </w:pPr>
      <w:r>
        <w:rPr>
          <w:b/>
        </w:rPr>
        <w:t xml:space="preserve">Transparent finance and procurement. </w:t>
      </w:r>
      <w:r>
        <w:t>Restricted funds, in-kind gifts, purchasing, inventory and asset transfers should be documented, approved and auditable.</w:t>
      </w:r>
    </w:p>
    <w:p>
      <w:pPr>
        <w:keepLines/>
        <w:numPr>
          <w:ilvl w:val="0"/>
          <w:numId w:val="10"/>
        </w:numPr>
        <w:spacing w:after="160" w:line="280" w:lineRule="auto"/>
      </w:pPr>
      <w:r>
        <w:rPr>
          <w:b/>
        </w:rPr>
        <w:t xml:space="preserve">Maintenance before expansion. </w:t>
      </w:r>
      <w:r>
        <w:t>Every physical or technology asset must have an owner, operating plan, maintenance provision and end-of-life pathway.</w:t>
      </w:r>
    </w:p>
    <w:p>
      <w:pPr>
        <w:keepLines/>
        <w:numPr>
          <w:ilvl w:val="0"/>
          <w:numId w:val="10"/>
        </w:numPr>
        <w:spacing w:after="160" w:line="280" w:lineRule="auto"/>
      </w:pPr>
      <w:r>
        <w:rPr>
          <w:b/>
        </w:rPr>
        <w:t xml:space="preserve">Evidence before scale. </w:t>
      </w:r>
      <w:r>
        <w:t>Baseline, implementation data, beneficiary feedback and independent review should guide continuation or replication.</w:t>
      </w:r>
    </w:p>
    <w:p>
      <w:pPr>
        <w:pStyle w:val="Heading1"/>
        <w:keepNext/>
      </w:pPr>
      <w:r>
        <w:t>Measurement framework</w:t>
      </w:r>
    </w:p>
    <w:p>
      <w:pPr/>
      <w:r>
        <w:t>Targets should be agreed only after a baseline. The scorecard below identifies outcome categories and evidence routes without inventing current performance or pre-committing the school to numerical targets.</w:t>
      </w:r>
    </w:p>
    <w:tbl>
      <w:tblPr>
        <w:tblW w:type="dxa" w:w="9360"/>
        <w:jc w:val="left"/>
        <w:tblLayout w:type="fixed"/>
        <w:tblLook w:firstColumn="1" w:firstRow="1" w:lastColumn="0" w:lastRow="0" w:noHBand="0" w:noVBand="1" w:val="04A0"/>
        <w:tblInd w:w="120" w:type="dxa"/>
        <w:tblBorders>
          <w:top w:val="single" w:sz="6" w:space="0" w:color="D7DDE5"/>
          <w:left w:val="single" w:sz="6" w:space="0" w:color="D7DDE5"/>
          <w:bottom w:val="single" w:sz="6" w:space="0" w:color="D7DDE5"/>
          <w:right w:val="single" w:sz="6" w:space="0" w:color="D7DDE5"/>
          <w:insideH w:val="single" w:sz="6" w:space="0" w:color="D7DDE5"/>
          <w:insideV w:val="single" w:sz="6" w:space="0" w:color="D7DDE5"/>
        </w:tblBorders>
      </w:tblPr>
      <w:tblGrid>
        <w:gridCol w:w="2050"/>
        <w:gridCol w:w="4350"/>
        <w:gridCol w:w="2960"/>
      </w:tblGrid>
      <w:tr>
        <w:trPr>
          <w:tblHeader w:val="true"/>
          <w:cantSplit w:val="true"/>
        </w:trPr>
        <w:tc>
          <w:tcPr>
            <w:tcW w:type="dxa" w:w="2050"/>
            <w:shd w:fill="1F4D78" w:val="clear"/>
            <w:vAlign w:val="center"/>
            <w:tcMar>
              <w:top w:w="80" w:type="dxa"/>
              <w:start w:w="120" w:type="dxa"/>
              <w:bottom w:w="80" w:type="dxa"/>
              <w:end w:w="120" w:type="dxa"/>
            </w:tcMar>
          </w:tcPr>
          <w:p>
            <w:pPr>
              <w:spacing w:before="0" w:after="0" w:line="259" w:lineRule="auto"/>
            </w:pPr>
            <w:r>
              <w:rPr>
                <w:rFonts w:ascii="Calibri" w:hAnsi="Calibri"/>
                <w:b/>
                <w:color w:val="FFFFFF"/>
                <w:sz w:val="18"/>
              </w:rPr>
              <w:t>Outcome area</w:t>
            </w:r>
          </w:p>
        </w:tc>
        <w:tc>
          <w:tcPr>
            <w:tcW w:type="dxa" w:w="4350"/>
            <w:shd w:fill="1F4D78" w:val="clear"/>
            <w:vAlign w:val="center"/>
            <w:tcMar>
              <w:top w:w="80" w:type="dxa"/>
              <w:start w:w="120" w:type="dxa"/>
              <w:bottom w:w="80" w:type="dxa"/>
              <w:end w:w="120" w:type="dxa"/>
            </w:tcMar>
          </w:tcPr>
          <w:p>
            <w:pPr>
              <w:spacing w:before="0" w:after="0" w:line="259" w:lineRule="auto"/>
            </w:pPr>
            <w:r>
              <w:rPr>
                <w:rFonts w:ascii="Calibri" w:hAnsi="Calibri"/>
                <w:b/>
                <w:color w:val="FFFFFF"/>
                <w:sz w:val="18"/>
              </w:rPr>
              <w:t>Illustrative indicator</w:t>
            </w:r>
          </w:p>
        </w:tc>
        <w:tc>
          <w:tcPr>
            <w:tcW w:type="dxa" w:w="2960"/>
            <w:shd w:fill="1F4D78" w:val="clear"/>
            <w:vAlign w:val="center"/>
            <w:tcMar>
              <w:top w:w="80" w:type="dxa"/>
              <w:start w:w="120" w:type="dxa"/>
              <w:bottom w:w="80" w:type="dxa"/>
              <w:end w:w="120" w:type="dxa"/>
            </w:tcMar>
          </w:tcPr>
          <w:p>
            <w:pPr>
              <w:spacing w:before="0" w:after="0" w:line="259" w:lineRule="auto"/>
            </w:pPr>
            <w:r>
              <w:rPr>
                <w:rFonts w:ascii="Calibri" w:hAnsi="Calibri"/>
                <w:b/>
                <w:color w:val="FFFFFF"/>
                <w:sz w:val="18"/>
              </w:rPr>
              <w:t>Evidence and review</w:t>
            </w:r>
          </w:p>
        </w:tc>
      </w:tr>
      <w:tr>
        <w:trPr>
          <w:cantSplit w:val="true"/>
        </w:trPr>
        <w:tc>
          <w:tcPr>
            <w:tcW w:type="dxa" w:w="2050"/>
            <w:vAlign w:val="center"/>
            <w:tcMar>
              <w:top w:w="80" w:type="dxa"/>
              <w:start w:w="120" w:type="dxa"/>
              <w:bottom w:w="80" w:type="dxa"/>
              <w:end w:w="120" w:type="dxa"/>
            </w:tcMar>
          </w:tcPr>
          <w:p>
            <w:pPr>
              <w:spacing w:before="0" w:after="0" w:line="259" w:lineRule="auto"/>
            </w:pPr>
            <w:r>
              <w:rPr>
                <w:rFonts w:ascii="Calibri" w:hAnsi="Calibri"/>
                <w:b/>
                <w:color w:val="222222"/>
                <w:sz w:val="18"/>
              </w:rPr>
              <w:t>Participation</w:t>
            </w:r>
          </w:p>
        </w:tc>
        <w:tc>
          <w:tcPr>
            <w:tcW w:type="dxa" w:w="4350"/>
            <w:vAlign w:val="center"/>
            <w:tcMar>
              <w:top w:w="80" w:type="dxa"/>
              <w:start w:w="120" w:type="dxa"/>
              <w:bottom w:w="80" w:type="dxa"/>
              <w:end w:w="120" w:type="dxa"/>
            </w:tcMar>
          </w:tcPr>
          <w:p>
            <w:pPr>
              <w:spacing w:before="0" w:after="0" w:line="259" w:lineRule="auto"/>
            </w:pPr>
            <w:r>
              <w:rPr>
                <w:rFonts w:ascii="Calibri" w:hAnsi="Calibri"/>
                <w:color w:val="222222"/>
                <w:sz w:val="18"/>
              </w:rPr>
              <w:t>Attendance, retention and participation in approved partnership activities</w:t>
            </w:r>
          </w:p>
        </w:tc>
        <w:tc>
          <w:tcPr>
            <w:tcW w:type="dxa" w:w="2960"/>
            <w:vAlign w:val="center"/>
            <w:tcMar>
              <w:top w:w="80" w:type="dxa"/>
              <w:start w:w="120" w:type="dxa"/>
              <w:bottom w:w="80" w:type="dxa"/>
              <w:end w:w="120" w:type="dxa"/>
            </w:tcMar>
          </w:tcPr>
          <w:p>
            <w:pPr>
              <w:spacing w:before="0" w:after="0" w:line="259" w:lineRule="auto"/>
            </w:pPr>
            <w:r>
              <w:rPr>
                <w:rFonts w:ascii="Calibri" w:hAnsi="Calibri"/>
                <w:color w:val="222222"/>
                <w:sz w:val="18"/>
              </w:rPr>
              <w:t>School records; termly review</w:t>
            </w:r>
          </w:p>
        </w:tc>
      </w:tr>
      <w:tr>
        <w:trPr>
          <w:cantSplit w:val="true"/>
        </w:trPr>
        <w:tc>
          <w:tcPr>
            <w:tcW w:type="dxa" w:w="2050"/>
            <w:shd w:fill="F8FAFC" w:val="clear"/>
            <w:vAlign w:val="center"/>
            <w:tcMar>
              <w:top w:w="80" w:type="dxa"/>
              <w:start w:w="120" w:type="dxa"/>
              <w:bottom w:w="80" w:type="dxa"/>
              <w:end w:w="120" w:type="dxa"/>
            </w:tcMar>
          </w:tcPr>
          <w:p>
            <w:pPr>
              <w:spacing w:before="0" w:after="0" w:line="259" w:lineRule="auto"/>
            </w:pPr>
            <w:r>
              <w:rPr>
                <w:rFonts w:ascii="Calibri" w:hAnsi="Calibri"/>
                <w:b/>
                <w:color w:val="222222"/>
                <w:sz w:val="18"/>
              </w:rPr>
              <w:t>Learning</w:t>
            </w:r>
          </w:p>
        </w:tc>
        <w:tc>
          <w:tcPr>
            <w:tcW w:type="dxa" w:w="435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Movement on school-selected literacy, numeracy or developmental benchmarks</w:t>
            </w:r>
          </w:p>
        </w:tc>
        <w:tc>
          <w:tcPr>
            <w:tcW w:type="dxa" w:w="296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Baseline and school assessment cycle</w:t>
            </w:r>
          </w:p>
        </w:tc>
      </w:tr>
      <w:tr>
        <w:trPr>
          <w:cantSplit w:val="true"/>
        </w:trPr>
        <w:tc>
          <w:tcPr>
            <w:tcW w:type="dxa" w:w="2050"/>
            <w:vAlign w:val="center"/>
            <w:tcMar>
              <w:top w:w="80" w:type="dxa"/>
              <w:start w:w="120" w:type="dxa"/>
              <w:bottom w:w="80" w:type="dxa"/>
              <w:end w:w="120" w:type="dxa"/>
            </w:tcMar>
          </w:tcPr>
          <w:p>
            <w:pPr>
              <w:spacing w:before="0" w:after="0" w:line="259" w:lineRule="auto"/>
            </w:pPr>
            <w:r>
              <w:rPr>
                <w:rFonts w:ascii="Calibri" w:hAnsi="Calibri"/>
                <w:b/>
                <w:color w:val="222222"/>
                <w:sz w:val="18"/>
              </w:rPr>
              <w:t>Digital capability</w:t>
            </w:r>
          </w:p>
        </w:tc>
        <w:tc>
          <w:tcPr>
            <w:tcW w:type="dxa" w:w="4350"/>
            <w:vAlign w:val="center"/>
            <w:tcMar>
              <w:top w:w="80" w:type="dxa"/>
              <w:start w:w="120" w:type="dxa"/>
              <w:bottom w:w="80" w:type="dxa"/>
              <w:end w:w="120" w:type="dxa"/>
            </w:tcMar>
          </w:tcPr>
          <w:p>
            <w:pPr>
              <w:spacing w:before="0" w:after="0" w:line="259" w:lineRule="auto"/>
            </w:pPr>
            <w:r>
              <w:rPr>
                <w:rFonts w:ascii="Calibri" w:hAnsi="Calibri"/>
                <w:color w:val="222222"/>
                <w:sz w:val="18"/>
              </w:rPr>
              <w:t>Access to approved tools and completion of safe digital-learning activities</w:t>
            </w:r>
          </w:p>
        </w:tc>
        <w:tc>
          <w:tcPr>
            <w:tcW w:type="dxa" w:w="2960"/>
            <w:vAlign w:val="center"/>
            <w:tcMar>
              <w:top w:w="80" w:type="dxa"/>
              <w:start w:w="120" w:type="dxa"/>
              <w:bottom w:w="80" w:type="dxa"/>
              <w:end w:w="120" w:type="dxa"/>
            </w:tcMar>
          </w:tcPr>
          <w:p>
            <w:pPr>
              <w:spacing w:before="0" w:after="0" w:line="259" w:lineRule="auto"/>
            </w:pPr>
            <w:r>
              <w:rPr>
                <w:rFonts w:ascii="Calibri" w:hAnsi="Calibri"/>
                <w:color w:val="222222"/>
                <w:sz w:val="18"/>
              </w:rPr>
              <w:t>Usage records; teacher validation</w:t>
            </w:r>
          </w:p>
        </w:tc>
      </w:tr>
      <w:tr>
        <w:trPr>
          <w:cantSplit w:val="true"/>
        </w:trPr>
        <w:tc>
          <w:tcPr>
            <w:tcW w:type="dxa" w:w="2050"/>
            <w:shd w:fill="F8FAFC" w:val="clear"/>
            <w:vAlign w:val="center"/>
            <w:tcMar>
              <w:top w:w="80" w:type="dxa"/>
              <w:start w:w="120" w:type="dxa"/>
              <w:bottom w:w="80" w:type="dxa"/>
              <w:end w:w="120" w:type="dxa"/>
            </w:tcMar>
          </w:tcPr>
          <w:p>
            <w:pPr>
              <w:spacing w:before="0" w:after="0" w:line="259" w:lineRule="auto"/>
            </w:pPr>
            <w:r>
              <w:rPr>
                <w:rFonts w:ascii="Calibri" w:hAnsi="Calibri"/>
                <w:b/>
                <w:color w:val="222222"/>
                <w:sz w:val="18"/>
              </w:rPr>
              <w:t>Educator capability</w:t>
            </w:r>
          </w:p>
        </w:tc>
        <w:tc>
          <w:tcPr>
            <w:tcW w:type="dxa" w:w="435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Professional-learning participation and classroom application</w:t>
            </w:r>
          </w:p>
        </w:tc>
        <w:tc>
          <w:tcPr>
            <w:tcW w:type="dxa" w:w="296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Teacher plans; observation; feedback</w:t>
            </w:r>
          </w:p>
        </w:tc>
      </w:tr>
      <w:tr>
        <w:trPr>
          <w:cantSplit w:val="true"/>
        </w:trPr>
        <w:tc>
          <w:tcPr>
            <w:tcW w:type="dxa" w:w="2050"/>
            <w:vAlign w:val="center"/>
            <w:tcMar>
              <w:top w:w="80" w:type="dxa"/>
              <w:start w:w="120" w:type="dxa"/>
              <w:bottom w:w="80" w:type="dxa"/>
              <w:end w:w="120" w:type="dxa"/>
            </w:tcMar>
          </w:tcPr>
          <w:p>
            <w:pPr>
              <w:spacing w:before="0" w:after="0" w:line="259" w:lineRule="auto"/>
            </w:pPr>
            <w:r>
              <w:rPr>
                <w:rFonts w:ascii="Calibri" w:hAnsi="Calibri"/>
                <w:b/>
                <w:color w:val="222222"/>
                <w:sz w:val="18"/>
              </w:rPr>
              <w:t>Family engagement</w:t>
            </w:r>
          </w:p>
        </w:tc>
        <w:tc>
          <w:tcPr>
            <w:tcW w:type="dxa" w:w="4350"/>
            <w:vAlign w:val="center"/>
            <w:tcMar>
              <w:top w:w="80" w:type="dxa"/>
              <w:start w:w="120" w:type="dxa"/>
              <w:bottom w:w="80" w:type="dxa"/>
              <w:end w:w="120" w:type="dxa"/>
            </w:tcMar>
          </w:tcPr>
          <w:p>
            <w:pPr>
              <w:spacing w:before="0" w:after="0" w:line="259" w:lineRule="auto"/>
            </w:pPr>
            <w:r>
              <w:rPr>
                <w:rFonts w:ascii="Calibri" w:hAnsi="Calibri"/>
                <w:color w:val="222222"/>
                <w:sz w:val="18"/>
              </w:rPr>
              <w:t>Caregiver participation, volunteer contribution and satisfaction</w:t>
            </w:r>
          </w:p>
        </w:tc>
        <w:tc>
          <w:tcPr>
            <w:tcW w:type="dxa" w:w="2960"/>
            <w:vAlign w:val="center"/>
            <w:tcMar>
              <w:top w:w="80" w:type="dxa"/>
              <w:start w:w="120" w:type="dxa"/>
              <w:bottom w:w="80" w:type="dxa"/>
              <w:end w:w="120" w:type="dxa"/>
            </w:tcMar>
          </w:tcPr>
          <w:p>
            <w:pPr>
              <w:spacing w:before="0" w:after="0" w:line="259" w:lineRule="auto"/>
            </w:pPr>
            <w:r>
              <w:rPr>
                <w:rFonts w:ascii="Calibri" w:hAnsi="Calibri"/>
                <w:color w:val="222222"/>
                <w:sz w:val="18"/>
              </w:rPr>
              <w:t>Registers; surveys; listening sessions</w:t>
            </w:r>
          </w:p>
        </w:tc>
      </w:tr>
      <w:tr>
        <w:trPr>
          <w:cantSplit w:val="true"/>
        </w:trPr>
        <w:tc>
          <w:tcPr>
            <w:tcW w:type="dxa" w:w="2050"/>
            <w:shd w:fill="F8FAFC" w:val="clear"/>
            <w:vAlign w:val="center"/>
            <w:tcMar>
              <w:top w:w="80" w:type="dxa"/>
              <w:start w:w="120" w:type="dxa"/>
              <w:bottom w:w="80" w:type="dxa"/>
              <w:end w:w="120" w:type="dxa"/>
            </w:tcMar>
          </w:tcPr>
          <w:p>
            <w:pPr>
              <w:spacing w:before="0" w:after="0" w:line="259" w:lineRule="auto"/>
            </w:pPr>
            <w:r>
              <w:rPr>
                <w:rFonts w:ascii="Calibri" w:hAnsi="Calibri"/>
                <w:b/>
                <w:color w:val="222222"/>
                <w:sz w:val="18"/>
              </w:rPr>
              <w:t>Health, sport and WASH</w:t>
            </w:r>
          </w:p>
        </w:tc>
        <w:tc>
          <w:tcPr>
            <w:tcW w:type="dxa" w:w="435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Safe facility condition, inclusive sport participation, hygiene practice and maintenance performance</w:t>
            </w:r>
          </w:p>
        </w:tc>
        <w:tc>
          <w:tcPr>
            <w:tcW w:type="dxa" w:w="296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Participation records; condition checks; maintenance log</w:t>
            </w:r>
          </w:p>
        </w:tc>
      </w:tr>
      <w:tr>
        <w:trPr>
          <w:cantSplit w:val="true"/>
        </w:trPr>
        <w:tc>
          <w:tcPr>
            <w:tcW w:type="dxa" w:w="2050"/>
            <w:vAlign w:val="center"/>
            <w:tcMar>
              <w:top w:w="80" w:type="dxa"/>
              <w:start w:w="120" w:type="dxa"/>
              <w:bottom w:w="80" w:type="dxa"/>
              <w:end w:w="120" w:type="dxa"/>
            </w:tcMar>
          </w:tcPr>
          <w:p>
            <w:pPr>
              <w:spacing w:before="0" w:after="0" w:line="259" w:lineRule="auto"/>
            </w:pPr>
            <w:r>
              <w:rPr>
                <w:rFonts w:ascii="Calibri" w:hAnsi="Calibri"/>
                <w:b/>
                <w:color w:val="222222"/>
                <w:sz w:val="18"/>
              </w:rPr>
              <w:t>Enterprise and creativity</w:t>
            </w:r>
          </w:p>
        </w:tc>
        <w:tc>
          <w:tcPr>
            <w:tcW w:type="dxa" w:w="4350"/>
            <w:vAlign w:val="center"/>
            <w:tcMar>
              <w:top w:w="80" w:type="dxa"/>
              <w:start w:w="120" w:type="dxa"/>
              <w:bottom w:w="80" w:type="dxa"/>
              <w:end w:w="120" w:type="dxa"/>
            </w:tcMar>
          </w:tcPr>
          <w:p>
            <w:pPr>
              <w:spacing w:before="0" w:after="0" w:line="259" w:lineRule="auto"/>
            </w:pPr>
            <w:r>
              <w:rPr>
                <w:rFonts w:ascii="Calibri" w:hAnsi="Calibri"/>
                <w:color w:val="222222"/>
                <w:sz w:val="18"/>
              </w:rPr>
              <w:t>Age-appropriate projects completed and skills demonstrated</w:t>
            </w:r>
          </w:p>
        </w:tc>
        <w:tc>
          <w:tcPr>
            <w:tcW w:type="dxa" w:w="2960"/>
            <w:vAlign w:val="center"/>
            <w:tcMar>
              <w:top w:w="80" w:type="dxa"/>
              <w:start w:w="120" w:type="dxa"/>
              <w:bottom w:w="80" w:type="dxa"/>
              <w:end w:w="120" w:type="dxa"/>
            </w:tcMar>
          </w:tcPr>
          <w:p>
            <w:pPr>
              <w:spacing w:before="0" w:after="0" w:line="259" w:lineRule="auto"/>
            </w:pPr>
            <w:r>
              <w:rPr>
                <w:rFonts w:ascii="Calibri" w:hAnsi="Calibri"/>
                <w:color w:val="222222"/>
                <w:sz w:val="18"/>
              </w:rPr>
              <w:t>Student portfolios; showcases; rubrics</w:t>
            </w:r>
          </w:p>
        </w:tc>
      </w:tr>
      <w:tr>
        <w:trPr>
          <w:cantSplit w:val="true"/>
        </w:trPr>
        <w:tc>
          <w:tcPr>
            <w:tcW w:type="dxa" w:w="2050"/>
            <w:shd w:fill="F8FAFC" w:val="clear"/>
            <w:vAlign w:val="center"/>
            <w:tcMar>
              <w:top w:w="80" w:type="dxa"/>
              <w:start w:w="120" w:type="dxa"/>
              <w:bottom w:w="80" w:type="dxa"/>
              <w:end w:w="120" w:type="dxa"/>
            </w:tcMar>
          </w:tcPr>
          <w:p>
            <w:pPr>
              <w:spacing w:before="0" w:after="0" w:line="259" w:lineRule="auto"/>
            </w:pPr>
            <w:r>
              <w:rPr>
                <w:rFonts w:ascii="Calibri" w:hAnsi="Calibri"/>
                <w:b/>
                <w:color w:val="222222"/>
                <w:sz w:val="18"/>
              </w:rPr>
              <w:t>Sustainability</w:t>
            </w:r>
          </w:p>
        </w:tc>
        <w:tc>
          <w:tcPr>
            <w:tcW w:type="dxa" w:w="435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Local ownership, funded maintenance and continuation after pilot support</w:t>
            </w:r>
          </w:p>
        </w:tc>
        <w:tc>
          <w:tcPr>
            <w:tcW w:type="dxa" w:w="2960"/>
            <w:shd w:fill="F8FAFC" w:val="clear"/>
            <w:vAlign w:val="center"/>
            <w:tcMar>
              <w:top w:w="80" w:type="dxa"/>
              <w:start w:w="120" w:type="dxa"/>
              <w:bottom w:w="80" w:type="dxa"/>
              <w:end w:w="120" w:type="dxa"/>
            </w:tcMar>
          </w:tcPr>
          <w:p>
            <w:pPr>
              <w:spacing w:before="0" w:after="0" w:line="259" w:lineRule="auto"/>
            </w:pPr>
            <w:r>
              <w:rPr>
                <w:rFonts w:ascii="Calibri" w:hAnsi="Calibri"/>
                <w:color w:val="222222"/>
                <w:sz w:val="18"/>
              </w:rPr>
              <w:t>Partner commitments; annual review</w:t>
            </w:r>
          </w:p>
        </w:tc>
      </w:tr>
    </w:tbl>
    <w:p>
      <w:pPr>
        <w:pStyle w:val="SourceNote"/>
      </w:pPr>
      <w:r>
        <w:rPr>
          <w:b/>
          <w:i/>
        </w:rPr>
        <w:t xml:space="preserve">Measurement rule: </w:t>
      </w:r>
      <w:r>
        <w:rPr>
          <w:i/>
        </w:rPr>
        <w:t>Use only school-approved, proportionate data; report aggregate results externally unless a lawful, consented reason requires otherwise.</w:t>
      </w:r>
    </w:p>
    <w:p>
      <w:pPr>
        <w:pStyle w:val="Heading1"/>
        <w:keepNext/>
      </w:pPr>
      <w:r>
        <w:t>Partner engagement pathways</w:t>
      </w:r>
    </w:p>
    <w:p>
      <w:pPr>
        <w:keepLines/>
        <w:numPr>
          <w:ilvl w:val="0"/>
          <w:numId w:val="10"/>
        </w:numPr>
        <w:spacing w:after="160" w:line="280" w:lineRule="auto"/>
      </w:pPr>
      <w:r>
        <w:rPr>
          <w:b/>
        </w:rPr>
        <w:t xml:space="preserve">Anniversary legacy sponsorship. </w:t>
      </w:r>
      <w:r>
        <w:t>Fund a school-validated anniversary or capital-legacy package with a defined budget, outcome, maintenance plan and reporting cycle.</w:t>
      </w:r>
    </w:p>
    <w:p>
      <w:pPr>
        <w:keepLines/>
        <w:numPr>
          <w:ilvl w:val="0"/>
          <w:numId w:val="10"/>
        </w:numPr>
        <w:spacing w:after="160" w:line="280" w:lineRule="auto"/>
      </w:pPr>
      <w:r>
        <w:rPr>
          <w:b/>
        </w:rPr>
        <w:t xml:space="preserve">Equipment and infrastructure. </w:t>
      </w:r>
      <w:r>
        <w:t>Support the approved Community Resource Center expansion, Sportsplex, devices, connectivity, furniture, books, WASH or resilience assets through an approved specification and acceptance process.</w:t>
      </w:r>
    </w:p>
    <w:p>
      <w:pPr>
        <w:keepLines/>
        <w:numPr>
          <w:ilvl w:val="0"/>
          <w:numId w:val="10"/>
        </w:numPr>
        <w:spacing w:after="160" w:line="280" w:lineRule="auto"/>
      </w:pPr>
      <w:r>
        <w:rPr>
          <w:b/>
        </w:rPr>
        <w:t xml:space="preserve">Professional expertise. </w:t>
      </w:r>
      <w:r>
        <w:t>Contribute educator development, career exposure, agriculture, technology, health, arts, finance or project-management capability.</w:t>
      </w:r>
    </w:p>
    <w:p>
      <w:pPr>
        <w:keepLines/>
        <w:numPr>
          <w:ilvl w:val="0"/>
          <w:numId w:val="10"/>
        </w:numPr>
        <w:spacing w:after="160" w:line="280" w:lineRule="auto"/>
      </w:pPr>
      <w:r>
        <w:rPr>
          <w:b/>
        </w:rPr>
        <w:t xml:space="preserve">Mentorship and diaspora connection. </w:t>
      </w:r>
      <w:r>
        <w:t>Support structured, supervised engagements that protect children and build continuity rather than one-time visibility.</w:t>
      </w:r>
    </w:p>
    <w:p>
      <w:pPr>
        <w:keepLines/>
        <w:numPr>
          <w:ilvl w:val="0"/>
          <w:numId w:val="10"/>
        </w:numPr>
        <w:spacing w:after="160" w:line="280" w:lineRule="auto"/>
      </w:pPr>
      <w:r>
        <w:rPr>
          <w:b/>
        </w:rPr>
        <w:t xml:space="preserve">Community enterprise support. </w:t>
      </w:r>
      <w:r>
        <w:t>Connect families and local producers to training, markets, procurement readiness and the proposed entrepreneurship centre.</w:t>
      </w:r>
    </w:p>
    <w:p>
      <w:pPr>
        <w:keepLines/>
        <w:numPr>
          <w:ilvl w:val="0"/>
          <w:numId w:val="10"/>
        </w:numPr>
        <w:spacing w:after="160" w:line="280" w:lineRule="auto"/>
      </w:pPr>
      <w:r>
        <w:rPr>
          <w:b/>
        </w:rPr>
        <w:t xml:space="preserve">Sustainability reserve. </w:t>
      </w:r>
      <w:r>
        <w:t>Help fund maintenance, consumables, connectivity, monitoring and replacement - the recurring costs that determine whether an intervention lasts.</w:t>
      </w:r>
    </w:p>
    <w:p>
      <w:pPr>
        <w:pStyle w:val="Heading1"/>
        <w:keepNext/>
      </w:pPr>
      <w:r>
        <w:t>Decision-ready next actions</w:t>
      </w:r>
    </w:p>
    <w:p>
      <w:pPr>
        <w:keepLines/>
        <w:numPr>
          <w:ilvl w:val="0"/>
          <w:numId w:val="13"/>
        </w:numPr>
        <w:spacing w:after="160" w:line="280" w:lineRule="auto"/>
      </w:pPr>
      <w:r>
        <w:rPr>
          <w:b/>
        </w:rPr>
        <w:t xml:space="preserve">Establish anniversary governance. </w:t>
      </w:r>
      <w:r>
        <w:t>Name school, board/PTA, alumni and SourceEnergy liaisons and define the steering group's authority, reporting line and decision rights.</w:t>
      </w:r>
    </w:p>
    <w:p>
      <w:pPr>
        <w:keepLines/>
        <w:numPr>
          <w:ilvl w:val="0"/>
          <w:numId w:val="13"/>
        </w:numPr>
        <w:spacing w:after="160" w:line="280" w:lineRule="auto"/>
      </w:pPr>
      <w:r>
        <w:rPr>
          <w:b/>
        </w:rPr>
        <w:t xml:space="preserve">Convene a listening and governance session. </w:t>
      </w:r>
      <w:r>
        <w:t>Include school leadership, board, PTA, educators, community representation and relevant public officials.</w:t>
      </w:r>
    </w:p>
    <w:p>
      <w:pPr>
        <w:keepLines/>
        <w:numPr>
          <w:ilvl w:val="0"/>
          <w:numId w:val="13"/>
        </w:numPr>
        <w:spacing w:after="160" w:line="280" w:lineRule="auto"/>
      </w:pPr>
      <w:r>
        <w:rPr>
          <w:b/>
        </w:rPr>
        <w:t xml:space="preserve">Approve the anniversary mandate and controls. </w:t>
      </w:r>
      <w:r>
        <w:t>Confirm the 19 October 2026 commencement, celebration window, theme-development process, official spokespersons and approval route.</w:t>
      </w:r>
    </w:p>
    <w:p>
      <w:pPr>
        <w:keepLines/>
        <w:numPr>
          <w:ilvl w:val="0"/>
          <w:numId w:val="13"/>
        </w:numPr>
        <w:spacing w:after="160" w:line="280" w:lineRule="auto"/>
      </w:pPr>
      <w:r>
        <w:rPr>
          <w:b/>
        </w:rPr>
        <w:t xml:space="preserve">Complete the baseline, legacy inventory and site feasibility. </w:t>
      </w:r>
      <w:r>
        <w:t>Validate enrolment, priorities, facilities, campus boundaries, utilities, accessibility and partners; assemble the alumni, 2006 Community Resource Center and school-history records.</w:t>
      </w:r>
    </w:p>
    <w:p>
      <w:pPr>
        <w:keepLines/>
        <w:numPr>
          <w:ilvl w:val="0"/>
          <w:numId w:val="13"/>
        </w:numPr>
        <w:spacing w:after="160" w:line="280" w:lineRule="auto"/>
      </w:pPr>
      <w:r>
        <w:rPr>
          <w:b/>
        </w:rPr>
        <w:t xml:space="preserve">Approve the launch and capital legacy brief. </w:t>
      </w:r>
      <w:r>
        <w:t>Define Sportsplex outcomes, concept scope, feasibility work, decision gates and a school-led opening programme with no unfunded recurring burden.</w:t>
      </w:r>
    </w:p>
    <w:p>
      <w:pPr>
        <w:keepLines/>
        <w:numPr>
          <w:ilvl w:val="0"/>
          <w:numId w:val="13"/>
        </w:numPr>
        <w:spacing w:after="160" w:line="280" w:lineRule="auto"/>
      </w:pPr>
      <w:r>
        <w:rPr>
          <w:b/>
        </w:rPr>
        <w:t xml:space="preserve">Draft the partnership MOU. </w:t>
      </w:r>
      <w:r>
        <w:t>Set scope, roles, safeguarding, data, branding, finance, procurement, dispute resolution, reporting and exit provisions.</w:t>
      </w:r>
    </w:p>
    <w:p>
      <w:pPr>
        <w:keepLines/>
        <w:numPr>
          <w:ilvl w:val="0"/>
          <w:numId w:val="13"/>
        </w:numPr>
        <w:spacing w:after="160" w:line="280" w:lineRule="auto"/>
      </w:pPr>
      <w:r>
        <w:rPr>
          <w:b/>
        </w:rPr>
        <w:t xml:space="preserve">Build the capital and resource plan. </w:t>
      </w:r>
      <w:r>
        <w:t>Cost each approved intervention, define the capital stack and operations and maintenance reserve, identify cash and in-kind requirements, and prepare an authorised partner prospectus.</w:t>
      </w:r>
    </w:p>
    <w:p>
      <w:pPr>
        <w:keepLines/>
        <w:numPr>
          <w:ilvl w:val="0"/>
          <w:numId w:val="13"/>
        </w:numPr>
        <w:spacing w:after="160" w:line="280" w:lineRule="auto"/>
      </w:pPr>
      <w:r>
        <w:rPr>
          <w:b/>
        </w:rPr>
        <w:t xml:space="preserve">Approve the anniversary scorecard and launch plan. </w:t>
      </w:r>
      <w:r>
        <w:t>Set milestones from 19 October 2026 through October 2027, targets, review cadence, responsible owners and the continuation gate.</w:t>
      </w:r>
    </w:p>
    <w:tbl>
      <w:tblPr>
        <w:tblW w:type="dxa" w:w="9360"/>
        <w:jc w:val="left"/>
        <w:tblLayout w:type="fixed"/>
        <w:tblLook w:firstColumn="1" w:firstRow="1" w:lastColumn="0" w:lastRow="0" w:noHBand="0" w:noVBand="1" w:val="04A0"/>
        <w:tblInd w:w="120" w:type="dxa"/>
      </w:tblPr>
      <w:tblGrid>
        <w:gridCol w:w="9360"/>
      </w:tblGrid>
      <w:tr>
        <w:trPr>
          <w:cantSplit w:val="true"/>
        </w:trPr>
        <w:tc>
          <w:tcPr>
            <w:tcW w:type="dxa" w:w="9360"/>
            <w:shd w:fill="FFF8E8" w:val="clear"/>
            <w:tcBorders>
              <w:top w:val="single" w:sz="6" w:space="0" w:color="D7DDE5"/>
              <w:bottom w:val="single" w:sz="6" w:space="0" w:color="D7DDE5"/>
              <w:left w:val="single" w:sz="18" w:space="0" w:color="C7952D"/>
              <w:right w:val="single" w:sz="6" w:space="0" w:color="D7DDE5"/>
            </w:tcBorders>
            <w:vAlign w:val="center"/>
            <w:tcMar>
              <w:top w:w="80" w:type="dxa"/>
              <w:start w:w="120" w:type="dxa"/>
              <w:bottom w:w="80" w:type="dxa"/>
              <w:end w:w="120" w:type="dxa"/>
            </w:tcMar>
          </w:tcPr>
          <w:p>
            <w:pPr>
              <w:spacing w:before="20" w:after="20" w:line="264" w:lineRule="auto"/>
            </w:pPr>
            <w:r>
              <w:rPr>
                <w:rFonts w:ascii="Calibri" w:hAnsi="Calibri"/>
                <w:b/>
                <w:color w:val="0B2545"/>
                <w:sz w:val="21"/>
              </w:rPr>
              <w:t xml:space="preserve">Recommended first decision: </w:t>
            </w:r>
            <w:r>
              <w:rPr>
                <w:rFonts w:ascii="Calibri" w:hAnsi="Calibri"/>
                <w:color w:val="222222"/>
                <w:sz w:val="21"/>
              </w:rPr>
              <w:t>Authorise Phase 0 anniversary and campus-transformation readiness through 18 October 2026 - not construction, fundraising or public launch. This is the smallest action that converts the commitment into an evidence-based, school-governed programme ready to commence on 19 October 2026.</w:t>
            </w:r>
          </w:p>
        </w:tc>
      </w:tr>
    </w:tbl>
    <w:p>
      <w:pPr>
        <w:pStyle w:val="Heading1"/>
        <w:keepNext/>
      </w:pPr>
      <w:r>
        <w:t>Information to validate before external circulation</w:t>
      </w:r>
    </w:p>
    <w:p>
      <w:pPr>
        <w:keepLines/>
        <w:numPr>
          <w:ilvl w:val="0"/>
          <w:numId w:val="10"/>
        </w:numPr>
        <w:spacing w:after="160" w:line="280" w:lineRule="auto"/>
      </w:pPr>
      <w:r>
        <w:t>The school's preferred official name and current contact details; confirm that ///crazy.sonar.merrier marks the preferred entrance or operational access point and record the corresponding coordinates.</w:t>
      </w:r>
    </w:p>
    <w:p>
      <w:pPr>
        <w:keepLines/>
        <w:numPr>
          <w:ilvl w:val="0"/>
          <w:numId w:val="10"/>
        </w:numPr>
        <w:spacing w:after="160" w:line="280" w:lineRule="auto"/>
      </w:pPr>
      <w:r>
        <w:t>School and board confirmation of the 60th anniversary designation, 19 October 2026 commencement, yearlong celebration window, theme, name/crest use, official spokespersons and event-approval route.</w:t>
      </w:r>
    </w:p>
    <w:p>
      <w:pPr>
        <w:keepLines/>
        <w:numPr>
          <w:ilvl w:val="0"/>
          <w:numId w:val="10"/>
        </w:numPr>
        <w:spacing w:after="160" w:line="280" w:lineRule="auto"/>
      </w:pPr>
      <w:r>
        <w:t>Community Resource Center and Sportsplex due diligence: campus boundaries and rights, educational and sport needs, site suitability, utilities, accessibility, environmental, traffic and security impacts, approvals, concept design, cost plan, capital sources, procurement, ownership, community-use rules, operations and lifecycle maintenance.</w:t>
      </w:r>
    </w:p>
    <w:p>
      <w:pPr>
        <w:keepLines/>
        <w:numPr>
          <w:ilvl w:val="0"/>
          <w:numId w:val="10"/>
        </w:numPr>
        <w:spacing w:after="160" w:line="280" w:lineRule="auto"/>
      </w:pPr>
      <w:r>
        <w:t>Current principal, board chair, PTA leadership and authorised signatories.</w:t>
      </w:r>
    </w:p>
    <w:p>
      <w:pPr>
        <w:keepLines/>
        <w:numPr>
          <w:ilvl w:val="0"/>
          <w:numId w:val="10"/>
        </w:numPr>
        <w:spacing w:after="160" w:line="280" w:lineRule="auto"/>
      </w:pPr>
      <w:r>
        <w:t>Current enrolment by grade, staffing, attendance and school-selected learning priorities.</w:t>
      </w:r>
    </w:p>
    <w:p>
      <w:pPr>
        <w:keepLines/>
        <w:numPr>
          <w:ilvl w:val="0"/>
          <w:numId w:val="10"/>
        </w:numPr>
        <w:spacing w:after="160" w:line="280" w:lineRule="auto"/>
      </w:pPr>
      <w:r>
        <w:t>Facilities and asset condition, including WASH, water, power, connectivity, security and accessibility.</w:t>
      </w:r>
    </w:p>
    <w:p>
      <w:pPr>
        <w:keepLines/>
        <w:numPr>
          <w:ilvl w:val="0"/>
          <w:numId w:val="10"/>
        </w:numPr>
        <w:spacing w:after="160" w:line="280" w:lineRule="auto"/>
      </w:pPr>
      <w:r>
        <w:t>Existing government, donor, alumni, NGO, church and corporate partnerships.</w:t>
      </w:r>
    </w:p>
    <w:p>
      <w:pPr>
        <w:keepLines/>
        <w:numPr>
          <w:ilvl w:val="0"/>
          <w:numId w:val="10"/>
        </w:numPr>
        <w:spacing w:after="160" w:line="280" w:lineRule="auto"/>
      </w:pPr>
      <w:r>
        <w:t>Archival support for Dr. Oliver E. Jones's attendance and the 2006 SourceEnergy Foundation Community Resource Center, including school records, photographs, correspondence, programme materials and participant recollections.</w:t>
      </w:r>
    </w:p>
    <w:p>
      <w:pPr>
        <w:keepLines/>
        <w:numPr>
          <w:ilvl w:val="0"/>
          <w:numId w:val="10"/>
        </w:numPr>
        <w:spacing w:after="160" w:line="280" w:lineRule="auto"/>
      </w:pPr>
      <w:r>
        <w:t>Immediate needs, recurring costs and maintenance responsibilities.</w:t>
      </w:r>
    </w:p>
    <w:p>
      <w:pPr>
        <w:keepLines/>
        <w:numPr>
          <w:ilvl w:val="0"/>
          <w:numId w:val="10"/>
        </w:numPr>
        <w:spacing w:after="160" w:line="280" w:lineRule="auto"/>
      </w:pPr>
      <w:r>
        <w:t>Required Ministry, Region 6, board, procurement, safeguarding, works and data approvals.</w:t>
      </w:r>
    </w:p>
    <w:p>
      <w:pPr>
        <w:keepLines/>
        <w:numPr>
          <w:ilvl w:val="0"/>
          <w:numId w:val="10"/>
        </w:numPr>
        <w:spacing w:after="160" w:line="280" w:lineRule="auto"/>
      </w:pPr>
      <w:r>
        <w:t>Legal and operational status of the St Toolies Community Trust and proposed River Park Centre.</w:t>
      </w:r>
    </w:p>
    <w:p>
      <w:pPr>
        <w:pStyle w:val="Heading1"/>
        <w:keepNext/>
      </w:pPr>
      <w:r>
        <w:t>Evidence and status notes</w:t>
      </w:r>
    </w:p>
    <w:p>
      <w:pPr>
        <w:keepLines/>
        <w:numPr>
          <w:ilvl w:val="0"/>
          <w:numId w:val="14"/>
        </w:numPr>
        <w:spacing w:after="160" w:line="280" w:lineRule="auto"/>
      </w:pPr>
      <w:r>
        <w:rPr>
          <w:b/>
        </w:rPr>
      </w:r>
      <w:r>
        <w:t>Public institutional facts are limited to the National Council on Education listing and should be reconfirmed directly with the school before publication or outreach.</w:t>
      </w:r>
    </w:p>
    <w:p>
      <w:pPr>
        <w:keepLines/>
        <w:numPr>
          <w:ilvl w:val="0"/>
          <w:numId w:val="14"/>
        </w:numPr>
        <w:spacing w:after="160" w:line="280" w:lineRule="auto"/>
      </w:pPr>
      <w:r>
        <w:rPr>
          <w:b/>
        </w:rPr>
      </w:r>
      <w:r>
        <w:t>The JSIF sanitation reference is historical. It supports the fact of prior programme inclusion, not any claim about the current condition, adequacy or ownership of facilities.</w:t>
      </w:r>
    </w:p>
    <w:p>
      <w:pPr>
        <w:keepLines/>
        <w:numPr>
          <w:ilvl w:val="0"/>
          <w:numId w:val="14"/>
        </w:numPr>
        <w:spacing w:after="160" w:line="280" w:lineRule="auto"/>
      </w:pPr>
      <w:r>
        <w:rPr>
          <w:b/>
        </w:rPr>
      </w:r>
      <w:r>
        <w:t>The St Toolies River Park Centre for Global Entrepreneurship, St Toolies Community Trust partnership role and future Scotts Pass High School are planning concepts unless and until separately established and authorised.</w:t>
      </w:r>
    </w:p>
    <w:p>
      <w:pPr>
        <w:keepLines/>
        <w:numPr>
          <w:ilvl w:val="0"/>
          <w:numId w:val="14"/>
        </w:numPr>
        <w:spacing w:after="160" w:line="280" w:lineRule="auto"/>
      </w:pPr>
      <w:r>
        <w:rPr>
          <w:b/>
        </w:rPr>
      </w:r>
      <w:r>
        <w:t>SourceEnergy governance materials supplied for this assignment informed the stewardship, accountability and human-authorisation safeguards in this profile; they were not treated as independent evidence of school facts or public approvals.</w:t>
      </w:r>
    </w:p>
    <w:p>
      <w:pPr>
        <w:keepLines/>
        <w:numPr>
          <w:ilvl w:val="0"/>
          <w:numId w:val="14"/>
        </w:numPr>
        <w:spacing w:after="160" w:line="280" w:lineRule="auto"/>
      </w:pPr>
      <w:r>
        <w:rPr>
          <w:b/>
        </w:rPr>
      </w:r>
      <w:r>
        <w:t>The alumni connection, 2006 Community Resource Center history and 19 October 2026 anniversary commencement are founder-supplied legacy facts. Before external publication, the school and board should confirm the anniversary designation and date, and SourceEnergy Foundation should assemble available records, photographs, contemporaneous programme materials and participant recollections.</w:t>
      </w:r>
    </w:p>
    <w:p>
      <w:pPr>
        <w:keepLines/>
        <w:numPr>
          <w:ilvl w:val="0"/>
          <w:numId w:val="14"/>
        </w:numPr>
        <w:spacing w:after="160" w:line="280" w:lineRule="auto"/>
      </w:pPr>
      <w:r>
        <w:rPr>
          <w:b/>
        </w:rPr>
      </w:r>
      <w:r>
        <w:t>SourceEnergy Foundation's capital legacy commitment is a commitment to lead development and resource mobilisation for the proposed Community Resource Center expansion and Sportsplex. It does not itself constitute school or Ministry approval, a final design, a fixed funding amount, construction authorisation, procurement award or completion date.</w:t>
      </w:r>
    </w:p>
    <w:p>
      <w:pPr>
        <w:keepLines/>
        <w:numPr>
          <w:ilvl w:val="0"/>
          <w:numId w:val="14"/>
        </w:numPr>
        <w:spacing w:after="160" w:line="280" w:lineRule="auto"/>
      </w:pPr>
      <w:r>
        <w:rPr>
          <w:b/>
        </w:rPr>
      </w:r>
      <w:r>
        <w:t>This consultation profile is not a grant award, procurement instrument, MOU, construction contract, representation of Ministry approval or authority to raise funds in the school's name.</w:t>
      </w:r>
    </w:p>
    <w:p>
      <w:pPr>
        <w:pStyle w:val="Heading1"/>
        <w:keepNext/>
      </w:pPr>
      <w:r>
        <w:t>First consultation mandate</w:t>
      </w:r>
    </w:p>
    <w:tbl>
      <w:tblPr>
        <w:tblW w:type="dxa" w:w="9360"/>
        <w:jc w:val="left"/>
        <w:tblLayout w:type="fixed"/>
        <w:tblLook w:firstColumn="1" w:firstRow="1" w:lastColumn="0" w:lastRow="0" w:noHBand="0" w:noVBand="1" w:val="04A0"/>
        <w:tblInd w:w="120" w:type="dxa"/>
      </w:tblPr>
      <w:tblGrid>
        <w:gridCol w:w="9360"/>
      </w:tblGrid>
      <w:tr>
        <w:trPr>
          <w:cantSplit w:val="true"/>
        </w:trPr>
        <w:tc>
          <w:tcPr>
            <w:tcW w:type="dxa" w:w="9360"/>
            <w:shd w:fill="E8EEF5" w:val="clear"/>
            <w:tcBorders>
              <w:top w:val="single" w:sz="6" w:space="0" w:color="D7DDE5"/>
              <w:bottom w:val="single" w:sz="6" w:space="0" w:color="D7DDE5"/>
              <w:left w:val="single" w:sz="18" w:space="0" w:color="2E74B5"/>
              <w:right w:val="single" w:sz="6" w:space="0" w:color="D7DDE5"/>
            </w:tcBorders>
            <w:vAlign w:val="center"/>
            <w:tcMar>
              <w:top w:w="80" w:type="dxa"/>
              <w:start w:w="120" w:type="dxa"/>
              <w:bottom w:w="80" w:type="dxa"/>
              <w:end w:w="120" w:type="dxa"/>
            </w:tcMar>
          </w:tcPr>
          <w:p>
            <w:pPr>
              <w:spacing w:before="20" w:after="20" w:line="264" w:lineRule="auto"/>
            </w:pPr>
            <w:r>
              <w:rPr>
                <w:rFonts w:ascii="Calibri" w:hAnsi="Calibri"/>
                <w:b/>
                <w:color w:val="0B2545"/>
                <w:sz w:val="21"/>
              </w:rPr>
              <w:t xml:space="preserve">Meeting objective: </w:t>
            </w:r>
            <w:r>
              <w:rPr>
                <w:rFonts w:ascii="Calibri" w:hAnsi="Calibri"/>
                <w:color w:val="222222"/>
                <w:sz w:val="21"/>
              </w:rPr>
              <w:t>Validate the school and community context; confirm the 60th-anniversary mandate, 19 October 2026 commencement, 2006 legacy record and current decision authority; acknowledge the Foundation's capital legacy commitment; authorise feasibility and master planning; approve Phase 0 readiness; and identify the two most credible quick-win candidates. The meeting should not announce a public campaign, construction start or fixed funding amount.</w:t>
            </w:r>
          </w:p>
        </w:tc>
      </w:tr>
    </w:tbl>
    <w:p>
      <w:pPr>
        <w:pStyle w:val="Heading1"/>
        <w:keepNext/>
      </w:pPr>
      <w:r>
        <w:t>Contact and document control</w:t>
      </w:r>
    </w:p>
    <w:tbl>
      <w:tblPr>
        <w:tblW w:type="dxa" w:w="9360"/>
        <w:jc w:val="left"/>
        <w:tblLayout w:type="fixed"/>
        <w:tblLook w:firstColumn="1" w:firstRow="1" w:lastColumn="0" w:lastRow="0" w:noHBand="0" w:noVBand="1" w:val="04A0"/>
        <w:tblInd w:w="120" w:type="dxa"/>
        <w:tblBorders>
          <w:top w:val="single" w:sz="6" w:space="0" w:color="D7DDE5"/>
          <w:left w:val="single" w:sz="6" w:space="0" w:color="D7DDE5"/>
          <w:bottom w:val="single" w:sz="6" w:space="0" w:color="D7DDE5"/>
          <w:right w:val="single" w:sz="6" w:space="0" w:color="D7DDE5"/>
          <w:insideH w:val="single" w:sz="6" w:space="0" w:color="D7DDE5"/>
          <w:insideV w:val="single" w:sz="6" w:space="0" w:color="D7DDE5"/>
        </w:tblBorders>
      </w:tblPr>
      <w:tblGrid>
        <w:gridCol w:w="2400"/>
        <w:gridCol w:w="6960"/>
      </w:tblGrid>
      <w:tr>
        <w:trPr>
          <w:cantSplit w:val="true"/>
        </w:trPr>
        <w:tc>
          <w:tcPr>
            <w:tcW w:type="dxa" w:w="24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Document owner</w:t>
            </w:r>
          </w:p>
        </w:tc>
        <w:tc>
          <w:tcPr>
            <w:tcW w:type="dxa" w:w="6960"/>
            <w:vAlign w:val="center"/>
            <w:tcMar>
              <w:top w:w="80" w:type="dxa"/>
              <w:start w:w="120" w:type="dxa"/>
              <w:bottom w:w="80" w:type="dxa"/>
              <w:end w:w="120" w:type="dxa"/>
            </w:tcMar>
          </w:tcPr>
          <w:p>
            <w:pPr>
              <w:spacing w:before="0" w:after="0" w:line="259" w:lineRule="auto"/>
            </w:pPr>
            <w:r>
              <w:rPr>
                <w:rFonts w:ascii="Calibri" w:hAnsi="Calibri"/>
                <w:color w:val="222222"/>
                <w:sz w:val="19"/>
              </w:rPr>
              <w:t>SourceEnergy Foundation</w:t>
            </w:r>
          </w:p>
        </w:tc>
      </w:tr>
      <w:tr>
        <w:trPr>
          <w:cantSplit w:val="true"/>
        </w:trPr>
        <w:tc>
          <w:tcPr>
            <w:tcW w:type="dxa" w:w="24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Programme design</w:t>
            </w:r>
          </w:p>
        </w:tc>
        <w:tc>
          <w:tcPr>
            <w:tcW w:type="dxa" w:w="6960"/>
            <w:vAlign w:val="center"/>
            <w:tcMar>
              <w:top w:w="80" w:type="dxa"/>
              <w:start w:w="120" w:type="dxa"/>
              <w:bottom w:w="80" w:type="dxa"/>
              <w:end w:w="120" w:type="dxa"/>
            </w:tcMar>
          </w:tcPr>
          <w:p>
            <w:pPr>
              <w:spacing w:before="0" w:after="0" w:line="259" w:lineRule="auto"/>
            </w:pPr>
            <w:r>
              <w:rPr>
                <w:rFonts w:ascii="Calibri" w:hAnsi="Calibri"/>
                <w:color w:val="222222"/>
                <w:sz w:val="19"/>
              </w:rPr>
              <w:t>The Oliver E. Jones Center for Global Entrepreneurship</w:t>
            </w:r>
          </w:p>
        </w:tc>
      </w:tr>
      <w:tr>
        <w:trPr>
          <w:cantSplit w:val="true"/>
        </w:trPr>
        <w:tc>
          <w:tcPr>
            <w:tcW w:type="dxa" w:w="24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Version</w:t>
            </w:r>
          </w:p>
        </w:tc>
        <w:tc>
          <w:tcPr>
            <w:tcW w:type="dxa" w:w="6960"/>
            <w:vAlign w:val="center"/>
            <w:tcMar>
              <w:top w:w="80" w:type="dxa"/>
              <w:start w:w="120" w:type="dxa"/>
              <w:bottom w:w="80" w:type="dxa"/>
              <w:end w:w="120" w:type="dxa"/>
            </w:tcMar>
          </w:tcPr>
          <w:p>
            <w:pPr>
              <w:spacing w:before="0" w:after="0" w:line="259" w:lineRule="auto"/>
            </w:pPr>
            <w:r>
              <w:rPr>
                <w:rFonts w:ascii="Calibri" w:hAnsi="Calibri"/>
                <w:color w:val="222222"/>
                <w:sz w:val="19"/>
              </w:rPr>
              <w:t>Consultation Draft 1.3</w:t>
            </w:r>
          </w:p>
        </w:tc>
      </w:tr>
      <w:tr>
        <w:trPr>
          <w:cantSplit w:val="true"/>
        </w:trPr>
        <w:tc>
          <w:tcPr>
            <w:tcW w:type="dxa" w:w="24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Date</w:t>
            </w:r>
          </w:p>
        </w:tc>
        <w:tc>
          <w:tcPr>
            <w:tcW w:type="dxa" w:w="6960"/>
            <w:vAlign w:val="center"/>
            <w:tcMar>
              <w:top w:w="80" w:type="dxa"/>
              <w:start w:w="120" w:type="dxa"/>
              <w:bottom w:w="80" w:type="dxa"/>
              <w:end w:w="120" w:type="dxa"/>
            </w:tcMar>
          </w:tcPr>
          <w:p>
            <w:pPr>
              <w:spacing w:before="0" w:after="0" w:line="259" w:lineRule="auto"/>
            </w:pPr>
            <w:r>
              <w:rPr>
                <w:rFonts w:ascii="Calibri" w:hAnsi="Calibri"/>
                <w:color w:val="222222"/>
                <w:sz w:val="19"/>
              </w:rPr>
              <w:t>1 September 2026</w:t>
            </w:r>
          </w:p>
        </w:tc>
      </w:tr>
      <w:tr>
        <w:trPr>
          <w:cantSplit w:val="true"/>
        </w:trPr>
        <w:tc>
          <w:tcPr>
            <w:tcW w:type="dxa" w:w="2400"/>
            <w:shd w:fill="F2F4F7" w:val="clear"/>
            <w:vAlign w:val="center"/>
            <w:tcMar>
              <w:top w:w="80" w:type="dxa"/>
              <w:start w:w="120" w:type="dxa"/>
              <w:bottom w:w="80" w:type="dxa"/>
              <w:end w:w="120" w:type="dxa"/>
            </w:tcMar>
          </w:tcPr>
          <w:p>
            <w:pPr>
              <w:spacing w:before="0" w:after="0" w:line="259" w:lineRule="auto"/>
            </w:pPr>
            <w:r>
              <w:rPr>
                <w:rFonts w:ascii="Calibri" w:hAnsi="Calibri"/>
                <w:b/>
                <w:color w:val="222222"/>
                <w:sz w:val="19"/>
              </w:rPr>
              <w:t>Next review</w:t>
            </w:r>
          </w:p>
        </w:tc>
        <w:tc>
          <w:tcPr>
            <w:tcW w:type="dxa" w:w="6960"/>
            <w:vAlign w:val="center"/>
            <w:tcMar>
              <w:top w:w="80" w:type="dxa"/>
              <w:start w:w="120" w:type="dxa"/>
              <w:bottom w:w="80" w:type="dxa"/>
              <w:end w:w="120" w:type="dxa"/>
            </w:tcMar>
          </w:tcPr>
          <w:p>
            <w:pPr>
              <w:spacing w:before="0" w:after="0" w:line="259" w:lineRule="auto"/>
            </w:pPr>
            <w:r>
              <w:rPr>
                <w:rFonts w:ascii="Calibri" w:hAnsi="Calibri"/>
                <w:color w:val="222222"/>
                <w:sz w:val="19"/>
              </w:rPr>
              <w:t>After school leadership and board approval of the anniversary and capital legacy mandates</w:t>
            </w:r>
          </w:p>
        </w:tc>
      </w:tr>
    </w:tbl>
    <w:sectPr w:rsidR="00FC693F" w:rsidRPr="0006063C" w:rsidSect="00034616">
      <w:headerReference w:type="default" r:id="rId9"/>
      <w:headerReference w:type="even" r:id="rId10"/>
      <w:footerReference w:type="default" r:id="rId11"/>
      <w:footerReference w:type="even" r:id="rId1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5F6B76"/>
        <w:sz w:val="16"/>
      </w:rPr>
      <w:t xml:space="preserve">Consultation Draft | SourceEnergy Foundation | September 2026 | Page </w:t>
    </w:r>
    <w:r>
      <w:rPr>
        <w:rFonts w:ascii="Calibri" w:hAnsi="Calibri"/>
        <w:color w:val="5F6B76"/>
        <w:sz w:val="17"/>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5F6B76"/>
        <w:sz w:val="16"/>
      </w:rPr>
      <w:t xml:space="preserve">Consultation Draft | SourceEnergy Foundation | September 2026 | Page </w:t>
    </w:r>
    <w:r>
      <w:rPr>
        <w:rFonts w:ascii="Calibri" w:hAnsi="Calibri"/>
        <w:color w:val="5F6B76"/>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center"/>
    </w:pPr>
    <w:r>
      <w:rPr>
        <w:rFonts w:ascii="Calibri" w:hAnsi="Calibri"/>
        <w:b/>
        <w:color w:val="5F6B76"/>
        <w:sz w:val="16"/>
      </w:rPr>
      <w:t>SCOTTS PASS PRIMARY &amp; INFANT SCHOOL | COMMUNITY PARTNERSHIP PROFILE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center"/>
    </w:pPr>
    <w:r>
      <w:rPr>
        <w:rFonts w:ascii="Calibri" w:hAnsi="Calibri"/>
        <w:b/>
        <w:color w:val="5F6B76"/>
        <w:sz w:val="16"/>
      </w:rPr>
      <w:t>SCOTTS PASS PRIMARY &amp; INFANT SCHOOL | COMMUNITY PARTNERSHIP PROFILE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720"/>
        </w:tabs>
        <w:ind w:left="720" w:hanging="360"/>
        <w:spacing w:after="160" w:line="280" w:lineRule="auto"/>
      </w:pPr>
    </w:lvl>
  </w:abstractNum>
  <w:num w:numId="10">
    <w:abstractNumId w:val="9"/>
  </w:num>
  <w:abstractNum w:abstractNumId="10">
    <w:multiLevelType w:val="singleLevel"/>
    <w:lvl w:ilvl="0">
      <w:start w:val="1"/>
      <w:numFmt w:val="decimal"/>
      <w:lvlText w:val="%1."/>
      <w:lvlJc w:val="left"/>
      <w:pPr>
        <w:tabs>
          <w:tab w:val="num" w:pos="720"/>
        </w:tabs>
        <w:ind w:left="720" w:hanging="360"/>
        <w:spacing w:after="160" w:line="280" w:lineRule="auto"/>
      </w:pPr>
    </w:lvl>
  </w:abstractNum>
  <w:num w:numId="11">
    <w:abstractNumId w:val="10"/>
  </w:num>
  <w:abstractNum w:abstractNumId="11">
    <w:multiLevelType w:val="singleLevel"/>
    <w:lvl w:ilvl="0">
      <w:start w:val="1"/>
      <w:numFmt w:val="decimal"/>
      <w:lvlText w:val="%1."/>
      <w:lvlJc w:val="left"/>
      <w:pPr>
        <w:tabs>
          <w:tab w:val="num" w:pos="720"/>
        </w:tabs>
        <w:ind w:left="720" w:hanging="360"/>
        <w:spacing w:after="160" w:line="280" w:lineRule="auto"/>
      </w:pPr>
    </w:lvl>
  </w:abstractNum>
  <w:num w:numId="12">
    <w:abstractNumId w:val="11"/>
  </w:num>
  <w:abstractNum w:abstractNumId="12">
    <w:multiLevelType w:val="singleLevel"/>
    <w:lvl w:ilvl="0">
      <w:start w:val="1"/>
      <w:numFmt w:val="decimal"/>
      <w:lvlText w:val="%1."/>
      <w:lvlJc w:val="left"/>
      <w:pPr>
        <w:tabs>
          <w:tab w:val="num" w:pos="720"/>
        </w:tabs>
        <w:ind w:left="720" w:hanging="360"/>
        <w:spacing w:after="160" w:line="280" w:lineRule="auto"/>
      </w:pPr>
    </w:lvl>
  </w:abstractNum>
  <w:num w:numId="13">
    <w:abstractNumId w:val="12"/>
  </w:num>
  <w:abstractNum w:abstractNumId="13">
    <w:multiLevelType w:val="singleLevel"/>
    <w:lvl w:ilvl="0">
      <w:start w:val="1"/>
      <w:numFmt w:val="decimal"/>
      <w:lvlText w:val="%1."/>
      <w:lvlJc w:val="left"/>
      <w:pPr>
        <w:tabs>
          <w:tab w:val="num" w:pos="720"/>
        </w:tabs>
        <w:ind w:left="720" w:hanging="360"/>
        <w:spacing w:after="160" w:line="280" w:lineRule="auto"/>
      </w:pPr>
    </w:lvl>
  </w:abstract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40"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40"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line="240"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before="0" w:after="80" w:line="252" w:lineRule="auto"/>
    </w:pPr>
    <w:rPr>
      <w:rFonts w:ascii="Calibri" w:hAnsi="Calibri"/>
      <w:b/>
      <w:i w:val="0"/>
      <w:color w:val="C7952D"/>
      <w:sz w:val="19"/>
    </w:rPr>
  </w:style>
  <w:style w:type="paragraph" w:customStyle="1" w:styleId="DocumentTitle">
    <w:name w:val="Document Title"/>
    <w:pPr>
      <w:spacing w:before="0" w:after="120" w:line="252" w:lineRule="auto"/>
    </w:pPr>
    <w:rPr>
      <w:rFonts w:ascii="Calibri" w:hAnsi="Calibri"/>
      <w:b/>
      <w:i w:val="0"/>
      <w:color w:val="0B2545"/>
      <w:sz w:val="56"/>
    </w:rPr>
  </w:style>
  <w:style w:type="paragraph" w:customStyle="1" w:styleId="DocumentSubtitle">
    <w:name w:val="Document Subtitle"/>
    <w:pPr>
      <w:spacing w:before="0" w:after="140" w:line="252" w:lineRule="auto"/>
    </w:pPr>
    <w:rPr>
      <w:rFonts w:ascii="Calibri" w:hAnsi="Calibri"/>
      <w:b w:val="0"/>
      <w:i w:val="0"/>
      <w:color w:val="5F6B76"/>
      <w:sz w:val="26"/>
    </w:rPr>
  </w:style>
  <w:style w:type="paragraph" w:customStyle="1" w:styleId="Metadata">
    <w:name w:val="Metadata"/>
    <w:pPr>
      <w:spacing w:before="0" w:after="280" w:line="252" w:lineRule="auto"/>
    </w:pPr>
    <w:rPr>
      <w:rFonts w:ascii="Calibri" w:hAnsi="Calibri"/>
      <w:b w:val="0"/>
      <w:i w:val="0"/>
      <w:color w:val="5F6B76"/>
      <w:sz w:val="19"/>
    </w:rPr>
  </w:style>
  <w:style w:type="paragraph" w:customStyle="1" w:styleId="Lead">
    <w:name w:val="Lead"/>
    <w:pPr>
      <w:spacing w:before="0" w:after="160" w:line="252" w:lineRule="auto"/>
    </w:pPr>
    <w:rPr>
      <w:rFonts w:ascii="Calibri" w:hAnsi="Calibri"/>
      <w:b w:val="0"/>
      <w:i w:val="0"/>
      <w:color w:val="0B2545"/>
      <w:sz w:val="24"/>
    </w:rPr>
  </w:style>
  <w:style w:type="paragraph" w:customStyle="1" w:styleId="SourceNote">
    <w:name w:val="Source Note"/>
    <w:pPr>
      <w:spacing w:before="80" w:after="80" w:line="240" w:lineRule="auto"/>
    </w:pPr>
    <w:rPr>
      <w:rFonts w:ascii="Calibri" w:hAnsi="Calibri"/>
      <w:b w:val="0"/>
      <w:i/>
      <w:color w:val="5F6B76"/>
      <w:sz w:val="18"/>
    </w:rPr>
  </w:style>
  <w:style w:type="paragraph" w:customStyle="1" w:styleId="Small">
    <w:name w:val="Small"/>
    <w:pPr>
      <w:spacing w:before="0" w:after="80" w:line="252" w:lineRule="auto"/>
    </w:pPr>
    <w:rPr>
      <w:rFonts w:ascii="Calibri" w:hAnsi="Calibri"/>
      <w:b w:val="0"/>
      <w:i w:val="0"/>
      <w:color w:val="5F6B76"/>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what3words.com/crazy.sonar.merrier" TargetMode="External"/><Relationship Id="rId14" Type="http://schemas.openxmlformats.org/officeDocument/2006/relationships/hyperlink" Target="https://ncejamaica.org/content/scotts-pass-primary-infant-1" TargetMode="External"/><Relationship Id="rId15" Type="http://schemas.openxmlformats.org/officeDocument/2006/relationships/hyperlink" Target="https://support.what3words.com/en/articles/1519234" TargetMode="External"/><Relationship Id="rId16" Type="http://schemas.openxmlformats.org/officeDocument/2006/relationships/hyperlink" Target="https://www.jsif.org/sites/default/files/TOR%20-%20PDF%20-%20Final%20Evaluation%20Sanitation%20Project%20and%20WASH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Scotts Pass Primary and Infant School Community Partnership Profile</dc:title>
  <dc:subject>Consultation framework for education, entrepreneurship, resilience and community development</dc:subject>
  <dc:creator>SourceEnergy Foundation</dc:creator>
  <cp:keywords>Scotts Pass, St Toolies, Clarendon, education, community partnership, entrepreneurship</cp:keywords>
  <dc:description>Consultation draft. Not an executed agreement or funding commitment.</dc:description>
  <cp:lastModifiedBy/>
  <cp:revision>1</cp:revision>
  <dcterms:created xsi:type="dcterms:W3CDTF">2013-12-23T23:15:00Z</dcterms:created>
  <dcterms:modified xsi:type="dcterms:W3CDTF">2013-12-23T23:15:00Z</dcterms:modified>
  <cp:category/>
</cp:coreProperties>
</file>